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96EC3">
      <w:pPr>
        <w:adjustRightInd w:val="0"/>
        <w:spacing w:before="24" w:beforeLines="10" w:line="400" w:lineRule="exact"/>
        <w:ind w:firstLine="422" w:firstLineChars="200"/>
        <w:jc w:val="center"/>
        <w:rPr>
          <w:rFonts w:hint="eastAsia" w:ascii="宋体" w:hAnsi="宋体"/>
          <w:b/>
          <w:bCs/>
          <w:color w:val="auto"/>
          <w:szCs w:val="21"/>
          <w:highlight w:val="none"/>
        </w:rPr>
      </w:pPr>
    </w:p>
    <w:p w14:paraId="57EB291F">
      <w:pPr>
        <w:adjustRightInd w:val="0"/>
        <w:spacing w:before="24" w:beforeLines="10" w:line="400" w:lineRule="exact"/>
        <w:ind w:firstLine="422" w:firstLineChars="200"/>
        <w:jc w:val="center"/>
        <w:rPr>
          <w:rFonts w:hint="eastAsia" w:ascii="宋体" w:hAnsi="宋体"/>
          <w:b/>
          <w:bCs/>
          <w:color w:val="auto"/>
          <w:szCs w:val="21"/>
          <w:highlight w:val="none"/>
        </w:rPr>
      </w:pPr>
    </w:p>
    <w:p w14:paraId="739574E2">
      <w:pPr>
        <w:pStyle w:val="19"/>
        <w:rPr>
          <w:rFonts w:hint="eastAsia"/>
          <w:color w:val="auto"/>
          <w:highlight w:val="none"/>
        </w:rPr>
      </w:pPr>
    </w:p>
    <w:p w14:paraId="47B1EE26">
      <w:pPr>
        <w:pStyle w:val="19"/>
        <w:jc w:val="center"/>
        <w:rPr>
          <w:rFonts w:hint="eastAsia"/>
          <w:color w:val="auto"/>
          <w:highlight w:val="none"/>
        </w:rPr>
      </w:pPr>
    </w:p>
    <w:p w14:paraId="1009FEF3">
      <w:pPr>
        <w:pStyle w:val="19"/>
        <w:jc w:val="center"/>
        <w:rPr>
          <w:rFonts w:hint="eastAsia" w:eastAsia="宋体"/>
          <w:b/>
          <w:color w:val="auto"/>
          <w:sz w:val="52"/>
          <w:highlight w:val="none"/>
          <w:lang w:eastAsia="zh-CN"/>
        </w:rPr>
      </w:pPr>
      <w:bookmarkStart w:id="0" w:name="_Hlk204851155"/>
      <w:r>
        <w:rPr>
          <w:rFonts w:hint="eastAsia"/>
          <w:b/>
          <w:color w:val="auto"/>
          <w:sz w:val="52"/>
          <w:highlight w:val="none"/>
          <w:lang w:eastAsia="zh-CN"/>
        </w:rPr>
        <w:t>怒江州中医医院心肺康复设备采购项目</w:t>
      </w:r>
    </w:p>
    <w:bookmarkEnd w:id="0"/>
    <w:p w14:paraId="6A866D44">
      <w:pPr>
        <w:pStyle w:val="19"/>
        <w:jc w:val="center"/>
        <w:rPr>
          <w:rFonts w:hint="eastAsia"/>
          <w:color w:val="auto"/>
          <w:highlight w:val="none"/>
        </w:rPr>
      </w:pPr>
    </w:p>
    <w:p w14:paraId="421AC45C">
      <w:pPr>
        <w:pStyle w:val="19"/>
        <w:jc w:val="center"/>
        <w:rPr>
          <w:rFonts w:hint="eastAsia"/>
          <w:color w:val="auto"/>
          <w:highlight w:val="none"/>
        </w:rPr>
      </w:pPr>
    </w:p>
    <w:p w14:paraId="17EBE487">
      <w:pPr>
        <w:pStyle w:val="19"/>
        <w:jc w:val="center"/>
        <w:rPr>
          <w:rFonts w:hint="eastAsia"/>
          <w:color w:val="auto"/>
          <w:highlight w:val="none"/>
        </w:rPr>
      </w:pPr>
    </w:p>
    <w:p w14:paraId="4FAAC01F">
      <w:pPr>
        <w:pStyle w:val="19"/>
        <w:jc w:val="center"/>
        <w:rPr>
          <w:rFonts w:hint="eastAsia"/>
          <w:color w:val="auto"/>
          <w:highlight w:val="none"/>
        </w:rPr>
      </w:pPr>
    </w:p>
    <w:p w14:paraId="64993E20">
      <w:pPr>
        <w:pStyle w:val="19"/>
        <w:jc w:val="center"/>
        <w:rPr>
          <w:rFonts w:hint="eastAsia"/>
          <w:color w:val="auto"/>
          <w:highlight w:val="none"/>
        </w:rPr>
      </w:pPr>
    </w:p>
    <w:p w14:paraId="65F13BCC">
      <w:pPr>
        <w:pStyle w:val="19"/>
        <w:jc w:val="center"/>
        <w:rPr>
          <w:rFonts w:hint="eastAsia"/>
          <w:b/>
          <w:color w:val="auto"/>
          <w:sz w:val="72"/>
          <w:highlight w:val="none"/>
        </w:rPr>
      </w:pPr>
      <w:r>
        <w:rPr>
          <w:rFonts w:hint="eastAsia"/>
          <w:b/>
          <w:color w:val="auto"/>
          <w:sz w:val="72"/>
          <w:highlight w:val="none"/>
        </w:rPr>
        <w:t>招 标 文 件</w:t>
      </w:r>
    </w:p>
    <w:p w14:paraId="728FE9B5">
      <w:pPr>
        <w:pStyle w:val="19"/>
        <w:jc w:val="center"/>
        <w:rPr>
          <w:rFonts w:hint="eastAsia" w:eastAsia="宋体"/>
          <w:b/>
          <w:color w:val="auto"/>
          <w:sz w:val="48"/>
          <w:szCs w:val="44"/>
          <w:highlight w:val="none"/>
          <w:lang w:eastAsia="zh-CN"/>
        </w:rPr>
      </w:pPr>
      <w:r>
        <w:rPr>
          <w:rFonts w:hint="eastAsia"/>
          <w:b/>
          <w:color w:val="auto"/>
          <w:sz w:val="28"/>
          <w:highlight w:val="none"/>
        </w:rPr>
        <w:t>项目编号：</w:t>
      </w:r>
      <w:r>
        <w:rPr>
          <w:rFonts w:hint="eastAsia"/>
          <w:b/>
          <w:color w:val="auto"/>
          <w:sz w:val="28"/>
          <w:highlight w:val="none"/>
          <w:lang w:eastAsia="zh-CN"/>
        </w:rPr>
        <w:t>NJZC2025-G1-00360-YZGF-1037</w:t>
      </w:r>
    </w:p>
    <w:p w14:paraId="1605B47A">
      <w:pPr>
        <w:pStyle w:val="19"/>
        <w:jc w:val="center"/>
        <w:rPr>
          <w:rFonts w:hint="eastAsia" w:eastAsia="宋体"/>
          <w:b/>
          <w:color w:val="auto"/>
          <w:sz w:val="28"/>
          <w:highlight w:val="none"/>
          <w:u w:val="single"/>
          <w:lang w:eastAsia="zh-CN"/>
        </w:rPr>
      </w:pPr>
      <w:r>
        <w:rPr>
          <w:rFonts w:hint="eastAsia"/>
          <w:b/>
          <w:color w:val="auto"/>
          <w:sz w:val="28"/>
          <w:highlight w:val="none"/>
        </w:rPr>
        <w:t>招标编号：</w:t>
      </w:r>
      <w:r>
        <w:rPr>
          <w:rFonts w:hint="eastAsia"/>
          <w:b/>
          <w:color w:val="auto"/>
          <w:sz w:val="28"/>
          <w:highlight w:val="none"/>
          <w:lang w:eastAsia="zh-CN"/>
        </w:rPr>
        <w:t>Q53A00925001275</w:t>
      </w:r>
    </w:p>
    <w:p w14:paraId="73E95933">
      <w:pPr>
        <w:pStyle w:val="19"/>
        <w:rPr>
          <w:rFonts w:hint="eastAsia"/>
          <w:b/>
          <w:color w:val="auto"/>
          <w:highlight w:val="none"/>
        </w:rPr>
      </w:pPr>
    </w:p>
    <w:p w14:paraId="5A0FF229">
      <w:pPr>
        <w:pStyle w:val="19"/>
        <w:rPr>
          <w:rFonts w:hint="eastAsia"/>
          <w:b/>
          <w:color w:val="auto"/>
          <w:highlight w:val="none"/>
        </w:rPr>
      </w:pPr>
    </w:p>
    <w:p w14:paraId="30C9F9D2">
      <w:pPr>
        <w:pStyle w:val="19"/>
        <w:rPr>
          <w:rFonts w:hint="eastAsia"/>
          <w:b/>
          <w:color w:val="auto"/>
          <w:highlight w:val="none"/>
        </w:rPr>
      </w:pPr>
    </w:p>
    <w:p w14:paraId="4F81A87B">
      <w:pPr>
        <w:pStyle w:val="19"/>
        <w:rPr>
          <w:rFonts w:hint="eastAsia"/>
          <w:b/>
          <w:color w:val="auto"/>
          <w:highlight w:val="none"/>
        </w:rPr>
      </w:pPr>
    </w:p>
    <w:p w14:paraId="3C29638E">
      <w:pPr>
        <w:pStyle w:val="19"/>
        <w:rPr>
          <w:rFonts w:hint="eastAsia"/>
          <w:b/>
          <w:color w:val="auto"/>
          <w:highlight w:val="none"/>
        </w:rPr>
      </w:pPr>
    </w:p>
    <w:p w14:paraId="1ADD1581">
      <w:pPr>
        <w:pStyle w:val="19"/>
        <w:rPr>
          <w:rFonts w:hint="eastAsia"/>
          <w:b/>
          <w:color w:val="auto"/>
          <w:highlight w:val="none"/>
        </w:rPr>
      </w:pPr>
    </w:p>
    <w:p w14:paraId="2E8EC451">
      <w:pPr>
        <w:pStyle w:val="19"/>
        <w:jc w:val="center"/>
        <w:rPr>
          <w:rFonts w:hint="eastAsia" w:eastAsia="宋体"/>
          <w:b/>
          <w:color w:val="auto"/>
          <w:highlight w:val="none"/>
          <w:lang w:eastAsia="zh-CN"/>
        </w:rPr>
      </w:pPr>
      <w:r>
        <w:rPr>
          <w:rFonts w:hint="eastAsia"/>
          <w:b/>
          <w:color w:val="auto"/>
          <w:highlight w:val="none"/>
        </w:rPr>
        <w:t xml:space="preserve">采  购  </w:t>
      </w:r>
      <w:r>
        <w:rPr>
          <w:b/>
          <w:color w:val="auto"/>
          <w:highlight w:val="none"/>
        </w:rPr>
        <w:t>人</w:t>
      </w:r>
      <w:r>
        <w:rPr>
          <w:rFonts w:hint="eastAsia"/>
          <w:b/>
          <w:color w:val="auto"/>
          <w:highlight w:val="none"/>
        </w:rPr>
        <w:t>：</w:t>
      </w:r>
      <w:r>
        <w:rPr>
          <w:rFonts w:hint="eastAsia"/>
          <w:b/>
          <w:color w:val="auto"/>
          <w:highlight w:val="none"/>
          <w:lang w:eastAsia="zh-CN"/>
        </w:rPr>
        <w:t>怒江傈僳族自治州中医医院</w:t>
      </w:r>
    </w:p>
    <w:p w14:paraId="360E11B9">
      <w:pPr>
        <w:pStyle w:val="19"/>
        <w:jc w:val="center"/>
        <w:rPr>
          <w:rFonts w:hint="eastAsia"/>
          <w:b/>
          <w:color w:val="auto"/>
          <w:highlight w:val="none"/>
        </w:rPr>
      </w:pPr>
      <w:r>
        <w:rPr>
          <w:rFonts w:hint="eastAsia"/>
          <w:b/>
          <w:color w:val="auto"/>
          <w:highlight w:val="none"/>
        </w:rPr>
        <w:t>采购代理机构：云南招标股份有限公司</w:t>
      </w:r>
    </w:p>
    <w:p w14:paraId="54CAA5D2">
      <w:pPr>
        <w:pStyle w:val="19"/>
        <w:jc w:val="center"/>
        <w:rPr>
          <w:rFonts w:hint="eastAsia"/>
          <w:b/>
          <w:color w:val="auto"/>
          <w:szCs w:val="21"/>
          <w:highlight w:val="none"/>
        </w:rPr>
      </w:pPr>
      <w:r>
        <w:rPr>
          <w:b/>
          <w:color w:val="auto"/>
          <w:highlight w:val="none"/>
        </w:rPr>
        <w:t>202</w:t>
      </w:r>
      <w:r>
        <w:rPr>
          <w:rFonts w:hint="eastAsia"/>
          <w:b/>
          <w:color w:val="auto"/>
          <w:highlight w:val="none"/>
        </w:rPr>
        <w:t>5年0</w:t>
      </w:r>
      <w:r>
        <w:rPr>
          <w:rFonts w:hint="eastAsia"/>
          <w:b/>
          <w:color w:val="auto"/>
          <w:highlight w:val="none"/>
          <w:lang w:val="en-US" w:eastAsia="zh-CN"/>
        </w:rPr>
        <w:t>8</w:t>
      </w:r>
      <w:r>
        <w:rPr>
          <w:rFonts w:hint="eastAsia"/>
          <w:b/>
          <w:color w:val="auto"/>
          <w:highlight w:val="none"/>
        </w:rPr>
        <w:t>月</w:t>
      </w:r>
    </w:p>
    <w:p w14:paraId="7D484B4B">
      <w:pPr>
        <w:pStyle w:val="19"/>
        <w:rPr>
          <w:rFonts w:hint="eastAsia"/>
          <w:color w:val="auto"/>
          <w:highlight w:val="none"/>
        </w:rPr>
        <w:sectPr>
          <w:footerReference r:id="rId6" w:type="first"/>
          <w:headerReference r:id="rId3" w:type="default"/>
          <w:footerReference r:id="rId4" w:type="default"/>
          <w:footerReference r:id="rId5" w:type="even"/>
          <w:pgSz w:w="11906" w:h="16838"/>
          <w:pgMar w:top="1134" w:right="1276" w:bottom="1134" w:left="1276" w:header="720" w:footer="720" w:gutter="0"/>
          <w:cols w:space="720" w:num="1"/>
          <w:titlePg/>
          <w:docGrid w:linePitch="331" w:charSpace="0"/>
        </w:sectPr>
      </w:pPr>
    </w:p>
    <w:p w14:paraId="597D6C90">
      <w:pPr>
        <w:pStyle w:val="19"/>
        <w:jc w:val="center"/>
        <w:rPr>
          <w:rFonts w:hint="eastAsia"/>
          <w:b/>
          <w:color w:val="auto"/>
          <w:highlight w:val="none"/>
        </w:rPr>
      </w:pPr>
      <w:r>
        <w:rPr>
          <w:rFonts w:hint="eastAsia"/>
          <w:b/>
          <w:color w:val="auto"/>
          <w:highlight w:val="none"/>
        </w:rPr>
        <w:t>目     录</w:t>
      </w:r>
    </w:p>
    <w:p w14:paraId="3BBAB4F1">
      <w:pPr>
        <w:pStyle w:val="25"/>
        <w:tabs>
          <w:tab w:val="right" w:leader="dot" w:pos="9354"/>
          <w:tab w:val="clear" w:pos="9628"/>
        </w:tabs>
        <w:spacing w:line="360" w:lineRule="auto"/>
        <w:ind w:firstLine="422" w:firstLineChars="200"/>
        <w:rPr>
          <w:rFonts w:hint="eastAsia" w:ascii="宋体" w:hAnsi="宋体" w:cs="宋体"/>
          <w:color w:val="auto"/>
          <w:sz w:val="21"/>
          <w:szCs w:val="21"/>
          <w:highlight w:val="none"/>
        </w:rPr>
      </w:pPr>
      <w:r>
        <w:rPr>
          <w:rFonts w:hint="eastAsia" w:ascii="宋体" w:hAnsi="宋体" w:cs="宋体"/>
          <w:bCs w:val="0"/>
          <w:caps w:val="0"/>
          <w:smallCaps/>
          <w:color w:val="auto"/>
          <w:sz w:val="21"/>
          <w:szCs w:val="21"/>
          <w:highlight w:val="none"/>
        </w:rPr>
        <w:fldChar w:fldCharType="begin"/>
      </w:r>
      <w:r>
        <w:rPr>
          <w:rFonts w:hint="eastAsia" w:ascii="宋体" w:hAnsi="宋体" w:cs="宋体"/>
          <w:bCs w:val="0"/>
          <w:caps w:val="0"/>
          <w:smallCaps/>
          <w:color w:val="auto"/>
          <w:sz w:val="21"/>
          <w:szCs w:val="21"/>
          <w:highlight w:val="none"/>
        </w:rPr>
        <w:instrText xml:space="preserve"> TOC \o "1-2" \h \z \u </w:instrText>
      </w:r>
      <w:r>
        <w:rPr>
          <w:rFonts w:hint="eastAsia" w:ascii="宋体" w:hAnsi="宋体" w:cs="宋体"/>
          <w:bCs w:val="0"/>
          <w:caps w:val="0"/>
          <w:smallCaps/>
          <w:color w:val="auto"/>
          <w:sz w:val="21"/>
          <w:szCs w:val="21"/>
          <w:highlight w:val="none"/>
        </w:rPr>
        <w:fldChar w:fldCharType="separate"/>
      </w:r>
      <w:r>
        <w:rPr>
          <w:color w:val="auto"/>
          <w:highlight w:val="none"/>
        </w:rPr>
        <w:fldChar w:fldCharType="begin"/>
      </w:r>
      <w:r>
        <w:rPr>
          <w:color w:val="auto"/>
          <w:highlight w:val="none"/>
        </w:rPr>
        <w:instrText xml:space="preserve"> HYPERLINK \l "_Toc25044" </w:instrText>
      </w:r>
      <w:r>
        <w:rPr>
          <w:color w:val="auto"/>
          <w:highlight w:val="none"/>
        </w:rPr>
        <w:fldChar w:fldCharType="separate"/>
      </w:r>
      <w:r>
        <w:rPr>
          <w:rFonts w:hint="eastAsia" w:ascii="宋体" w:hAnsi="宋体" w:cs="宋体"/>
          <w:color w:val="auto"/>
          <w:sz w:val="21"/>
          <w:szCs w:val="21"/>
          <w:highlight w:val="none"/>
        </w:rPr>
        <w:t>第一章 招标公告</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_Toc25044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4BC5939">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"_Toc20193" </w:instrText>
      </w:r>
      <w:r>
        <w:rPr>
          <w:color w:val="auto"/>
          <w:highlight w:val="none"/>
        </w:rPr>
        <w:fldChar w:fldCharType="separate"/>
      </w:r>
      <w:r>
        <w:rPr>
          <w:rFonts w:hint="eastAsia" w:ascii="宋体" w:hAnsi="宋体" w:cs="宋体"/>
          <w:bCs w:val="0"/>
          <w:color w:val="auto"/>
          <w:kern w:val="44"/>
          <w:sz w:val="21"/>
          <w:szCs w:val="21"/>
          <w:highlight w:val="none"/>
        </w:rPr>
        <w:t>第二章 投标人须知</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_Toc20193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6</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8B780C0">
      <w:pPr>
        <w:pStyle w:val="26"/>
        <w:tabs>
          <w:tab w:val="right" w:leader="dot" w:pos="9354"/>
          <w:tab w:val="clear" w:pos="9628"/>
        </w:tabs>
        <w:spacing w:line="360" w:lineRule="auto"/>
        <w:ind w:firstLine="400"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"_Toc2972" </w:instrText>
      </w:r>
      <w:r>
        <w:rPr>
          <w:color w:val="auto"/>
          <w:highlight w:val="none"/>
        </w:rPr>
        <w:fldChar w:fldCharType="separate"/>
      </w:r>
      <w:r>
        <w:rPr>
          <w:rFonts w:hint="eastAsia" w:ascii="宋体" w:hAnsi="宋体" w:cs="宋体"/>
          <w:color w:val="auto"/>
          <w:kern w:val="44"/>
          <w:sz w:val="21"/>
          <w:szCs w:val="21"/>
          <w:highlight w:val="none"/>
        </w:rPr>
        <w:t>投标人须知前附表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_Toc2972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6</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2D3238F">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"_Toc17094" </w:instrText>
      </w:r>
      <w:r>
        <w:rPr>
          <w:color w:val="auto"/>
          <w:highlight w:val="none"/>
        </w:rPr>
        <w:fldChar w:fldCharType="separate"/>
      </w:r>
      <w:r>
        <w:rPr>
          <w:rFonts w:hint="eastAsia" w:ascii="宋体" w:hAnsi="宋体" w:cs="宋体"/>
          <w:color w:val="auto"/>
          <w:sz w:val="21"/>
          <w:szCs w:val="21"/>
          <w:highlight w:val="none"/>
        </w:rPr>
        <w:t>第三章 合同书样式及主要条款</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_Toc17094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21</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39080EAC">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"_Toc5944" </w:instrText>
      </w:r>
      <w:r>
        <w:rPr>
          <w:color w:val="auto"/>
          <w:highlight w:val="none"/>
        </w:rPr>
        <w:fldChar w:fldCharType="separate"/>
      </w:r>
      <w:r>
        <w:rPr>
          <w:rFonts w:hint="eastAsia" w:ascii="宋体" w:hAnsi="宋体" w:cs="宋体"/>
          <w:color w:val="auto"/>
          <w:sz w:val="21"/>
          <w:szCs w:val="21"/>
          <w:highlight w:val="none"/>
        </w:rPr>
        <w:t>合同条款前附表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_Toc5944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21</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527C1A4">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"_Toc433" </w:instrText>
      </w:r>
      <w:r>
        <w:rPr>
          <w:color w:val="auto"/>
          <w:highlight w:val="none"/>
        </w:rPr>
        <w:fldChar w:fldCharType="separate"/>
      </w:r>
      <w:r>
        <w:rPr>
          <w:rFonts w:hint="eastAsia" w:ascii="宋体" w:hAnsi="宋体" w:cs="宋体"/>
          <w:color w:val="auto"/>
          <w:sz w:val="21"/>
          <w:szCs w:val="21"/>
          <w:highlight w:val="none"/>
        </w:rPr>
        <w:t>第四章  投标文件格式</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_Toc433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22</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613C6C4B">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"_Toc32578" </w:instrText>
      </w:r>
      <w:r>
        <w:rPr>
          <w:color w:val="auto"/>
          <w:highlight w:val="none"/>
        </w:rPr>
        <w:fldChar w:fldCharType="separate"/>
      </w:r>
      <w:r>
        <w:rPr>
          <w:rFonts w:hint="eastAsia" w:ascii="宋体" w:hAnsi="宋体" w:cs="宋体"/>
          <w:color w:val="auto"/>
          <w:sz w:val="21"/>
          <w:szCs w:val="21"/>
          <w:highlight w:val="none"/>
        </w:rPr>
        <w:t>第五章  项目需求及技术要求</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_Toc32578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68</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66137088">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"_Toc25822" </w:instrText>
      </w:r>
      <w:r>
        <w:rPr>
          <w:color w:val="auto"/>
          <w:highlight w:val="none"/>
        </w:rPr>
        <w:fldChar w:fldCharType="separate"/>
      </w:r>
      <w:r>
        <w:rPr>
          <w:rFonts w:hint="eastAsia" w:ascii="宋体" w:hAnsi="宋体" w:cs="宋体"/>
          <w:color w:val="auto"/>
          <w:sz w:val="21"/>
          <w:szCs w:val="21"/>
          <w:highlight w:val="none"/>
        </w:rPr>
        <w:t>第六章 资格评审标准</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_Toc25822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89</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12D0F1D8">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"_Toc24548" </w:instrText>
      </w:r>
      <w:r>
        <w:rPr>
          <w:color w:val="auto"/>
          <w:highlight w:val="none"/>
        </w:rPr>
        <w:fldChar w:fldCharType="separate"/>
      </w:r>
      <w:r>
        <w:rPr>
          <w:rFonts w:hint="eastAsia" w:ascii="宋体" w:hAnsi="宋体" w:cs="宋体"/>
          <w:color w:val="auto"/>
          <w:sz w:val="21"/>
          <w:szCs w:val="21"/>
          <w:highlight w:val="none"/>
        </w:rPr>
        <w:t>第七章 评标方法（综合评分法）</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_Toc24548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93</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74DA962D">
      <w:pPr>
        <w:pStyle w:val="26"/>
        <w:tabs>
          <w:tab w:val="right" w:leader="dot" w:pos="9354"/>
          <w:tab w:val="clear" w:pos="9628"/>
        </w:tabs>
        <w:spacing w:line="360" w:lineRule="auto"/>
        <w:ind w:firstLine="400"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"_Toc30704" </w:instrText>
      </w:r>
      <w:r>
        <w:rPr>
          <w:color w:val="auto"/>
          <w:highlight w:val="none"/>
        </w:rPr>
        <w:fldChar w:fldCharType="separate"/>
      </w:r>
      <w:r>
        <w:rPr>
          <w:rFonts w:hint="eastAsia" w:ascii="宋体" w:hAnsi="宋体" w:cs="宋体"/>
          <w:bCs/>
          <w:color w:val="auto"/>
          <w:kern w:val="44"/>
          <w:sz w:val="21"/>
          <w:szCs w:val="21"/>
          <w:highlight w:val="none"/>
        </w:rPr>
        <w:t>评标方法前附表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_Toc30704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93</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0C02AB9">
      <w:pPr>
        <w:pStyle w:val="26"/>
        <w:adjustRightInd w:val="0"/>
        <w:snapToGrid w:val="0"/>
        <w:spacing w:line="360" w:lineRule="auto"/>
        <w:ind w:left="0" w:firstLine="420" w:firstLineChars="200"/>
        <w:rPr>
          <w:rFonts w:hint="eastAsia" w:ascii="宋体" w:hAnsi="宋体"/>
          <w:color w:val="auto"/>
          <w:sz w:val="21"/>
          <w:szCs w:val="21"/>
          <w:highlight w:val="none"/>
        </w:rPr>
        <w:sectPr>
          <w:footerReference r:id="rId8" w:type="first"/>
          <w:footerReference r:id="rId7" w:type="default"/>
          <w:pgSz w:w="11906" w:h="16838"/>
          <w:pgMar w:top="1134" w:right="1276" w:bottom="1134" w:left="1276" w:header="720" w:footer="720" w:gutter="0"/>
          <w:pgNumType w:start="1"/>
          <w:cols w:space="720" w:num="1"/>
          <w:docGrid w:linePitch="331" w:charSpace="0"/>
        </w:sectPr>
      </w:pPr>
      <w:r>
        <w:rPr>
          <w:rFonts w:hint="eastAsia" w:ascii="宋体" w:hAnsi="宋体" w:cs="宋体"/>
          <w:bCs/>
          <w:caps/>
          <w:smallCaps w:val="0"/>
          <w:color w:val="auto"/>
          <w:sz w:val="21"/>
          <w:szCs w:val="21"/>
          <w:highlight w:val="none"/>
        </w:rPr>
        <w:fldChar w:fldCharType="end"/>
      </w:r>
    </w:p>
    <w:p w14:paraId="67339DBF">
      <w:pPr>
        <w:pStyle w:val="4"/>
        <w:numPr>
          <w:ilvl w:val="0"/>
          <w:numId w:val="4"/>
        </w:numPr>
        <w:jc w:val="center"/>
        <w:rPr>
          <w:rFonts w:hint="eastAsia" w:ascii="宋体" w:hAnsi="宋体" w:eastAsia="宋体"/>
          <w:color w:val="auto"/>
          <w:sz w:val="36"/>
          <w:szCs w:val="36"/>
          <w:highlight w:val="none"/>
        </w:rPr>
      </w:pPr>
      <w:bookmarkStart w:id="1" w:name="_Toc25044"/>
      <w:r>
        <w:rPr>
          <w:rFonts w:hint="eastAsia" w:ascii="宋体" w:hAnsi="宋体" w:eastAsia="宋体"/>
          <w:color w:val="auto"/>
          <w:sz w:val="36"/>
          <w:szCs w:val="36"/>
          <w:highlight w:val="none"/>
        </w:rPr>
        <w:t>招标公告</w:t>
      </w:r>
      <w:bookmarkEnd w:id="1"/>
      <w:bookmarkStart w:id="2" w:name="OLE_LINK2"/>
    </w:p>
    <w:p w14:paraId="42379E7A">
      <w:pPr>
        <w:pBdr>
          <w:top w:val="single" w:color="auto" w:sz="4" w:space="1"/>
          <w:left w:val="single" w:color="auto" w:sz="4" w:space="4"/>
          <w:bottom w:val="single" w:color="auto" w:sz="4" w:space="1"/>
          <w:right w:val="single" w:color="auto" w:sz="4" w:space="4"/>
        </w:pBdr>
        <w:spacing w:line="360" w:lineRule="auto"/>
        <w:jc w:val="left"/>
        <w:rPr>
          <w:rFonts w:hint="eastAsia" w:ascii="宋体" w:hAnsi="宋体"/>
          <w:color w:val="auto"/>
          <w:szCs w:val="21"/>
          <w:highlight w:val="none"/>
        </w:rPr>
      </w:pPr>
      <w:bookmarkStart w:id="3" w:name="OLE_LINK1"/>
      <w:r>
        <w:rPr>
          <w:rFonts w:ascii="宋体" w:hAnsi="宋体"/>
          <w:color w:val="auto"/>
          <w:szCs w:val="21"/>
          <w:highlight w:val="none"/>
        </w:rPr>
        <w:t>项目概况</w:t>
      </w:r>
    </w:p>
    <w:p w14:paraId="6AC77773">
      <w:pPr>
        <w:pBdr>
          <w:top w:val="single" w:color="auto" w:sz="4" w:space="1"/>
          <w:left w:val="single" w:color="auto" w:sz="4" w:space="4"/>
          <w:bottom w:val="single" w:color="auto" w:sz="4" w:space="1"/>
          <w:right w:val="single" w:color="auto" w:sz="4" w:space="4"/>
        </w:pBdr>
        <w:spacing w:line="360" w:lineRule="auto"/>
        <w:jc w:val="left"/>
        <w:rPr>
          <w:rFonts w:hint="eastAsia" w:ascii="宋体" w:hAnsi="宋体"/>
          <w:color w:val="auto"/>
          <w:szCs w:val="21"/>
          <w:highlight w:val="none"/>
        </w:rPr>
      </w:pPr>
      <w:r>
        <w:rPr>
          <w:rFonts w:hint="eastAsia" w:ascii="宋体" w:hAnsi="宋体" w:cs="宋体"/>
          <w:color w:val="auto"/>
          <w:kern w:val="0"/>
          <w:szCs w:val="21"/>
          <w:highlight w:val="none"/>
          <w:u w:val="single"/>
          <w:lang w:eastAsia="zh-CN"/>
        </w:rPr>
        <w:t>怒江州中医医院心肺康复设备采购项目</w:t>
      </w:r>
      <w:r>
        <w:rPr>
          <w:rFonts w:hint="eastAsia" w:ascii="宋体" w:hAnsi="宋体" w:cs="宋体"/>
          <w:color w:val="auto"/>
          <w:kern w:val="0"/>
          <w:szCs w:val="21"/>
          <w:highlight w:val="none"/>
        </w:rPr>
        <w:t>招标项目的</w:t>
      </w:r>
      <w:r>
        <w:rPr>
          <w:rFonts w:hint="eastAsia" w:ascii="宋体" w:hAnsi="宋体"/>
          <w:color w:val="auto"/>
          <w:szCs w:val="21"/>
          <w:highlight w:val="none"/>
        </w:rPr>
        <w:t>潜在投标人应在政采云平台线上（</w:t>
      </w:r>
      <w:r>
        <w:rPr>
          <w:color w:val="auto"/>
          <w:highlight w:val="none"/>
        </w:rPr>
        <w:fldChar w:fldCharType="begin"/>
      </w:r>
      <w:r>
        <w:rPr>
          <w:color w:val="auto"/>
          <w:highlight w:val="none"/>
        </w:rPr>
        <w:instrText xml:space="preserve"> HYPERLINK "https://www.zcygov.cn/）获取招标文件，并于2025年06月" </w:instrText>
      </w:r>
      <w:r>
        <w:rPr>
          <w:color w:val="auto"/>
          <w:highlight w:val="none"/>
        </w:rPr>
        <w:fldChar w:fldCharType="separate"/>
      </w:r>
      <w:r>
        <w:rPr>
          <w:rStyle w:val="39"/>
          <w:rFonts w:hint="eastAsia" w:ascii="宋体" w:hAnsi="宋体"/>
          <w:color w:val="auto"/>
          <w:szCs w:val="21"/>
          <w:highlight w:val="none"/>
        </w:rPr>
        <w:t>https://www.zcygov.cn/）获取招标文件，并于2025年</w:t>
      </w:r>
      <w:r>
        <w:rPr>
          <w:rStyle w:val="39"/>
          <w:rFonts w:hint="eastAsia" w:ascii="宋体" w:hAnsi="宋体"/>
          <w:color w:val="auto"/>
          <w:szCs w:val="21"/>
          <w:highlight w:val="none"/>
          <w:lang w:val="en-US" w:eastAsia="zh-CN"/>
        </w:rPr>
        <w:t>08</w:t>
      </w:r>
      <w:r>
        <w:rPr>
          <w:rStyle w:val="39"/>
          <w:rFonts w:hint="eastAsia" w:ascii="宋体" w:hAnsi="宋体"/>
          <w:color w:val="auto"/>
          <w:szCs w:val="21"/>
          <w:highlight w:val="none"/>
        </w:rPr>
        <w:t>月</w:t>
      </w:r>
      <w:r>
        <w:rPr>
          <w:rStyle w:val="39"/>
          <w:rFonts w:hint="eastAsia" w:ascii="宋体" w:hAnsi="宋体"/>
          <w:color w:val="auto"/>
          <w:szCs w:val="21"/>
          <w:highlight w:val="none"/>
        </w:rPr>
        <w:fldChar w:fldCharType="end"/>
      </w:r>
      <w:r>
        <w:rPr>
          <w:rFonts w:hint="eastAsia" w:ascii="宋体" w:hAnsi="宋体"/>
          <w:color w:val="auto"/>
          <w:szCs w:val="21"/>
          <w:highlight w:val="none"/>
          <w:u w:val="single"/>
          <w:lang w:val="en-US" w:eastAsia="zh-CN"/>
        </w:rPr>
        <w:t>27</w:t>
      </w:r>
      <w:r>
        <w:rPr>
          <w:rFonts w:ascii="宋体" w:hAnsi="宋体"/>
          <w:color w:val="auto"/>
          <w:szCs w:val="21"/>
          <w:highlight w:val="none"/>
        </w:rPr>
        <w:t>日09</w:t>
      </w:r>
      <w:r>
        <w:rPr>
          <w:rFonts w:hint="eastAsia" w:ascii="宋体" w:hAnsi="宋体"/>
          <w:color w:val="auto"/>
          <w:szCs w:val="21"/>
          <w:highlight w:val="none"/>
        </w:rPr>
        <w:t>点3</w:t>
      </w:r>
      <w:r>
        <w:rPr>
          <w:rFonts w:ascii="宋体" w:hAnsi="宋体"/>
          <w:color w:val="auto"/>
          <w:szCs w:val="21"/>
          <w:highlight w:val="none"/>
        </w:rPr>
        <w:t>0</w:t>
      </w:r>
      <w:r>
        <w:rPr>
          <w:rFonts w:hint="eastAsia" w:ascii="宋体" w:hAnsi="宋体"/>
          <w:color w:val="auto"/>
          <w:szCs w:val="21"/>
          <w:highlight w:val="none"/>
        </w:rPr>
        <w:t>分（北京时间）前递交投标文件。</w:t>
      </w:r>
    </w:p>
    <w:p w14:paraId="013E5B69">
      <w:pPr>
        <w:pStyle w:val="5"/>
        <w:jc w:val="left"/>
        <w:rPr>
          <w:rFonts w:hint="eastAsia" w:ascii="宋体" w:hAnsi="宋体" w:eastAsia="宋体"/>
          <w:color w:val="auto"/>
          <w:sz w:val="21"/>
          <w:szCs w:val="21"/>
          <w:highlight w:val="none"/>
        </w:rPr>
      </w:pPr>
      <w:bookmarkStart w:id="4" w:name="_Toc28359012"/>
      <w:bookmarkStart w:id="5" w:name="_Toc35393798"/>
      <w:bookmarkStart w:id="6" w:name="_Toc28359089"/>
      <w:bookmarkStart w:id="7" w:name="_Toc35393629"/>
      <w:r>
        <w:rPr>
          <w:rFonts w:hint="eastAsia" w:ascii="宋体" w:hAnsi="宋体" w:eastAsia="宋体"/>
          <w:color w:val="auto"/>
          <w:sz w:val="21"/>
          <w:szCs w:val="21"/>
          <w:highlight w:val="none"/>
        </w:rPr>
        <w:t>一、项目基本情况</w:t>
      </w:r>
      <w:bookmarkEnd w:id="4"/>
      <w:bookmarkEnd w:id="5"/>
      <w:bookmarkEnd w:id="6"/>
      <w:bookmarkEnd w:id="7"/>
    </w:p>
    <w:p w14:paraId="50457C86">
      <w:pPr>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 xml:space="preserve"> NJZC2025-G1-00360-YZGF-1037</w:t>
      </w:r>
    </w:p>
    <w:p w14:paraId="14C6EF0F">
      <w:pPr>
        <w:snapToGrid w:val="0"/>
        <w:spacing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怒江州中医医院心肺康复设备采购项目</w:t>
      </w:r>
    </w:p>
    <w:p w14:paraId="2ECDD13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预算金额（含税）：</w:t>
      </w:r>
      <w:r>
        <w:rPr>
          <w:rFonts w:hint="eastAsia" w:ascii="宋体" w:hAnsi="宋体"/>
          <w:color w:val="auto"/>
          <w:szCs w:val="21"/>
          <w:highlight w:val="none"/>
          <w:lang w:val="en-US" w:eastAsia="zh-CN"/>
        </w:rPr>
        <w:t>193</w:t>
      </w:r>
      <w:r>
        <w:rPr>
          <w:rFonts w:ascii="宋体" w:hAnsi="宋体"/>
          <w:color w:val="auto"/>
          <w:szCs w:val="21"/>
          <w:highlight w:val="none"/>
        </w:rPr>
        <w:t>.</w:t>
      </w:r>
      <w:r>
        <w:rPr>
          <w:rFonts w:hint="eastAsia" w:ascii="宋体" w:hAnsi="宋体"/>
          <w:color w:val="auto"/>
          <w:szCs w:val="21"/>
          <w:highlight w:val="none"/>
          <w:lang w:val="en-US" w:eastAsia="zh-CN"/>
        </w:rPr>
        <w:t>55</w:t>
      </w:r>
      <w:r>
        <w:rPr>
          <w:rFonts w:hint="eastAsia" w:ascii="宋体" w:hAnsi="宋体"/>
          <w:color w:val="auto"/>
          <w:szCs w:val="21"/>
          <w:highlight w:val="none"/>
        </w:rPr>
        <w:t>万元</w:t>
      </w:r>
    </w:p>
    <w:p w14:paraId="28E0F33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最高限价（含税）：</w:t>
      </w:r>
      <w:r>
        <w:rPr>
          <w:rFonts w:hint="eastAsia" w:ascii="宋体" w:hAnsi="宋体"/>
          <w:color w:val="auto"/>
          <w:szCs w:val="21"/>
          <w:highlight w:val="none"/>
          <w:lang w:val="en-US" w:eastAsia="zh-CN"/>
        </w:rPr>
        <w:t>193</w:t>
      </w:r>
      <w:r>
        <w:rPr>
          <w:rFonts w:hint="eastAsia" w:ascii="宋体" w:hAnsi="宋体"/>
          <w:color w:val="auto"/>
          <w:szCs w:val="21"/>
          <w:highlight w:val="none"/>
        </w:rPr>
        <w:t>.</w:t>
      </w:r>
      <w:r>
        <w:rPr>
          <w:rFonts w:hint="eastAsia" w:ascii="宋体" w:hAnsi="宋体"/>
          <w:color w:val="auto"/>
          <w:szCs w:val="21"/>
          <w:highlight w:val="none"/>
          <w:lang w:val="en-US" w:eastAsia="zh-CN"/>
        </w:rPr>
        <w:t>55</w:t>
      </w:r>
      <w:r>
        <w:rPr>
          <w:rFonts w:hint="eastAsia" w:ascii="宋体" w:hAnsi="宋体"/>
          <w:color w:val="auto"/>
          <w:szCs w:val="21"/>
          <w:highlight w:val="none"/>
        </w:rPr>
        <w:t>万元</w:t>
      </w:r>
    </w:p>
    <w:p w14:paraId="58E0627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r>
        <w:rPr>
          <w:rFonts w:hint="eastAsia" w:ascii="宋体" w:hAnsi="宋体"/>
          <w:color w:val="auto"/>
          <w:szCs w:val="21"/>
          <w:highlight w:val="none"/>
          <w:lang w:eastAsia="zh-CN"/>
        </w:rPr>
        <w:t>怒江傈僳族自治州中医医院</w:t>
      </w:r>
      <w:r>
        <w:rPr>
          <w:rFonts w:hint="eastAsia" w:ascii="宋体" w:hAnsi="宋体"/>
          <w:color w:val="auto"/>
          <w:szCs w:val="21"/>
          <w:highlight w:val="none"/>
        </w:rPr>
        <w:t>拟采购运动心肺功能测试系统（包括肺功能）1套</w:t>
      </w:r>
      <w:r>
        <w:rPr>
          <w:rFonts w:hint="eastAsia" w:ascii="宋体" w:hAnsi="宋体"/>
          <w:color w:val="auto"/>
          <w:szCs w:val="21"/>
          <w:highlight w:val="none"/>
          <w:lang w:eastAsia="zh-CN"/>
        </w:rPr>
        <w:t>、</w:t>
      </w:r>
      <w:r>
        <w:rPr>
          <w:rFonts w:hint="eastAsia" w:ascii="宋体" w:hAnsi="宋体"/>
          <w:color w:val="auto"/>
          <w:szCs w:val="21"/>
          <w:highlight w:val="none"/>
        </w:rPr>
        <w:t>6分钟步行试验系统（多导）1套</w:t>
      </w:r>
      <w:r>
        <w:rPr>
          <w:rFonts w:hint="eastAsia" w:ascii="宋体" w:hAnsi="宋体"/>
          <w:color w:val="auto"/>
          <w:szCs w:val="21"/>
          <w:highlight w:val="none"/>
          <w:lang w:eastAsia="zh-CN"/>
        </w:rPr>
        <w:t>、</w:t>
      </w:r>
      <w:r>
        <w:rPr>
          <w:rFonts w:hint="eastAsia" w:ascii="宋体" w:hAnsi="宋体"/>
          <w:color w:val="auto"/>
          <w:szCs w:val="21"/>
          <w:highlight w:val="none"/>
        </w:rPr>
        <w:t>呼气分析仪（一氧化氮分析仪）1台</w:t>
      </w:r>
      <w:r>
        <w:rPr>
          <w:rFonts w:hint="eastAsia" w:ascii="宋体" w:hAnsi="宋体"/>
          <w:color w:val="auto"/>
          <w:szCs w:val="21"/>
          <w:highlight w:val="none"/>
          <w:lang w:eastAsia="zh-CN"/>
        </w:rPr>
        <w:t>、</w:t>
      </w:r>
      <w:r>
        <w:rPr>
          <w:rFonts w:hint="eastAsia" w:ascii="宋体" w:hAnsi="宋体"/>
          <w:color w:val="auto"/>
          <w:szCs w:val="21"/>
          <w:highlight w:val="none"/>
        </w:rPr>
        <w:t>人体成分测试仪1台</w:t>
      </w:r>
      <w:r>
        <w:rPr>
          <w:rFonts w:hint="eastAsia" w:ascii="宋体" w:hAnsi="宋体"/>
          <w:color w:val="auto"/>
          <w:szCs w:val="21"/>
          <w:highlight w:val="none"/>
          <w:lang w:eastAsia="zh-CN"/>
        </w:rPr>
        <w:t>、</w:t>
      </w:r>
      <w:r>
        <w:rPr>
          <w:rFonts w:hint="eastAsia" w:ascii="宋体" w:hAnsi="宋体"/>
          <w:color w:val="auto"/>
          <w:szCs w:val="21"/>
          <w:highlight w:val="none"/>
        </w:rPr>
        <w:t>坐位功率自行车（含血压、血氧）1台</w:t>
      </w:r>
      <w:r>
        <w:rPr>
          <w:rFonts w:hint="eastAsia" w:ascii="宋体" w:hAnsi="宋体"/>
          <w:color w:val="auto"/>
          <w:szCs w:val="21"/>
          <w:highlight w:val="none"/>
          <w:lang w:eastAsia="zh-CN"/>
        </w:rPr>
        <w:t>、</w:t>
      </w:r>
      <w:r>
        <w:rPr>
          <w:rFonts w:hint="eastAsia" w:ascii="宋体" w:hAnsi="宋体"/>
          <w:color w:val="auto"/>
          <w:szCs w:val="21"/>
          <w:highlight w:val="none"/>
        </w:rPr>
        <w:t>斜躺式功率自行车1台</w:t>
      </w:r>
      <w:r>
        <w:rPr>
          <w:rFonts w:hint="eastAsia" w:ascii="宋体" w:hAnsi="宋体"/>
          <w:color w:val="auto"/>
          <w:szCs w:val="21"/>
          <w:highlight w:val="none"/>
          <w:lang w:eastAsia="zh-CN"/>
        </w:rPr>
        <w:t>、</w:t>
      </w:r>
      <w:r>
        <w:rPr>
          <w:rFonts w:hint="eastAsia" w:ascii="宋体" w:hAnsi="宋体"/>
          <w:color w:val="auto"/>
          <w:szCs w:val="21"/>
          <w:highlight w:val="none"/>
        </w:rPr>
        <w:t>坐式液压抗阻划船机1台</w:t>
      </w:r>
      <w:r>
        <w:rPr>
          <w:rFonts w:hint="eastAsia" w:ascii="宋体" w:hAnsi="宋体"/>
          <w:color w:val="auto"/>
          <w:szCs w:val="21"/>
          <w:highlight w:val="none"/>
          <w:lang w:eastAsia="zh-CN"/>
        </w:rPr>
        <w:t>、</w:t>
      </w:r>
      <w:r>
        <w:rPr>
          <w:rFonts w:hint="eastAsia" w:ascii="宋体" w:hAnsi="宋体"/>
          <w:color w:val="auto"/>
          <w:szCs w:val="21"/>
          <w:highlight w:val="none"/>
        </w:rPr>
        <w:t>上肢滑轮训练系统</w:t>
      </w:r>
      <w:r>
        <w:rPr>
          <w:rFonts w:hint="eastAsia" w:ascii="宋体" w:hAnsi="宋体"/>
          <w:color w:val="auto"/>
          <w:szCs w:val="21"/>
          <w:highlight w:val="none"/>
        </w:rPr>
        <w:tab/>
      </w:r>
      <w:r>
        <w:rPr>
          <w:rFonts w:hint="eastAsia" w:ascii="宋体" w:hAnsi="宋体"/>
          <w:color w:val="auto"/>
          <w:szCs w:val="21"/>
          <w:highlight w:val="none"/>
        </w:rPr>
        <w:t>1套</w:t>
      </w:r>
      <w:r>
        <w:rPr>
          <w:rFonts w:hint="eastAsia" w:ascii="宋体" w:hAnsi="宋体"/>
          <w:color w:val="auto"/>
          <w:szCs w:val="21"/>
          <w:highlight w:val="none"/>
          <w:lang w:eastAsia="zh-CN"/>
        </w:rPr>
        <w:t>、</w:t>
      </w:r>
      <w:r>
        <w:rPr>
          <w:rFonts w:hint="eastAsia" w:ascii="宋体" w:hAnsi="宋体"/>
          <w:color w:val="auto"/>
          <w:szCs w:val="21"/>
          <w:highlight w:val="none"/>
        </w:rPr>
        <w:t>下肢抗阻训练器1台</w:t>
      </w:r>
      <w:r>
        <w:rPr>
          <w:rFonts w:hint="eastAsia" w:ascii="宋体" w:hAnsi="宋体"/>
          <w:color w:val="auto"/>
          <w:szCs w:val="21"/>
          <w:highlight w:val="none"/>
          <w:lang w:eastAsia="zh-CN"/>
        </w:rPr>
        <w:t>、</w:t>
      </w:r>
      <w:r>
        <w:rPr>
          <w:rFonts w:hint="eastAsia" w:ascii="宋体" w:hAnsi="宋体"/>
          <w:color w:val="auto"/>
          <w:szCs w:val="21"/>
          <w:highlight w:val="none"/>
        </w:rPr>
        <w:t>多功能训练长椅（带滑轮系统）1套</w:t>
      </w:r>
      <w:r>
        <w:rPr>
          <w:rFonts w:hint="eastAsia" w:ascii="宋体" w:hAnsi="宋体"/>
          <w:color w:val="auto"/>
          <w:szCs w:val="21"/>
          <w:highlight w:val="none"/>
          <w:lang w:eastAsia="zh-CN"/>
        </w:rPr>
        <w:t>、</w:t>
      </w:r>
      <w:r>
        <w:rPr>
          <w:rFonts w:hint="eastAsia" w:ascii="宋体" w:hAnsi="宋体"/>
          <w:color w:val="auto"/>
          <w:szCs w:val="21"/>
          <w:highlight w:val="none"/>
        </w:rPr>
        <w:t>呼吸训练器（高频振荡排痰仪)1台</w:t>
      </w:r>
      <w:r>
        <w:rPr>
          <w:rFonts w:hint="eastAsia" w:ascii="宋体" w:hAnsi="宋体"/>
          <w:color w:val="auto"/>
          <w:szCs w:val="21"/>
          <w:highlight w:val="none"/>
          <w:lang w:eastAsia="zh-CN"/>
        </w:rPr>
        <w:t>、</w:t>
      </w:r>
      <w:r>
        <w:rPr>
          <w:rFonts w:hint="eastAsia" w:ascii="宋体" w:hAnsi="宋体"/>
          <w:color w:val="auto"/>
          <w:szCs w:val="21"/>
          <w:highlight w:val="none"/>
        </w:rPr>
        <w:t>呼吸机训练器（阀值负荷型）5台</w:t>
      </w:r>
      <w:r>
        <w:rPr>
          <w:rFonts w:hint="eastAsia" w:ascii="宋体" w:hAnsi="宋体"/>
          <w:color w:val="auto"/>
          <w:szCs w:val="21"/>
          <w:highlight w:val="none"/>
          <w:lang w:eastAsia="zh-CN"/>
        </w:rPr>
        <w:t>、</w:t>
      </w:r>
      <w:r>
        <w:rPr>
          <w:rFonts w:hint="eastAsia" w:ascii="宋体" w:hAnsi="宋体"/>
          <w:color w:val="auto"/>
          <w:szCs w:val="21"/>
          <w:highlight w:val="none"/>
        </w:rPr>
        <w:t>呼吸机训练器（容量型）5台</w:t>
      </w:r>
      <w:r>
        <w:rPr>
          <w:rFonts w:hint="eastAsia" w:ascii="宋体" w:hAnsi="宋体"/>
          <w:color w:val="auto"/>
          <w:szCs w:val="21"/>
          <w:highlight w:val="none"/>
          <w:lang w:eastAsia="zh-CN"/>
        </w:rPr>
        <w:t>、</w:t>
      </w:r>
      <w:r>
        <w:rPr>
          <w:rFonts w:hint="eastAsia" w:ascii="宋体" w:hAnsi="宋体"/>
          <w:color w:val="auto"/>
          <w:szCs w:val="21"/>
          <w:highlight w:val="none"/>
        </w:rPr>
        <w:t>高流量湿化氧疗仪1台</w:t>
      </w:r>
      <w:r>
        <w:rPr>
          <w:rFonts w:hint="eastAsia" w:ascii="宋体" w:hAnsi="宋体"/>
          <w:color w:val="auto"/>
          <w:szCs w:val="21"/>
          <w:highlight w:val="none"/>
          <w:lang w:eastAsia="zh-CN"/>
        </w:rPr>
        <w:t>、</w:t>
      </w:r>
      <w:r>
        <w:rPr>
          <w:rFonts w:hint="eastAsia" w:ascii="宋体" w:hAnsi="宋体"/>
          <w:color w:val="auto"/>
          <w:szCs w:val="21"/>
          <w:highlight w:val="none"/>
        </w:rPr>
        <w:t>无创呼吸机1台</w:t>
      </w:r>
      <w:r>
        <w:rPr>
          <w:rFonts w:hint="eastAsia" w:ascii="宋体" w:hAnsi="宋体"/>
          <w:color w:val="auto"/>
          <w:szCs w:val="21"/>
          <w:highlight w:val="none"/>
          <w:lang w:eastAsia="zh-CN"/>
        </w:rPr>
        <w:t>、</w:t>
      </w:r>
      <w:r>
        <w:rPr>
          <w:rFonts w:hint="eastAsia" w:ascii="宋体" w:hAnsi="宋体"/>
          <w:color w:val="auto"/>
          <w:szCs w:val="21"/>
          <w:highlight w:val="none"/>
        </w:rPr>
        <w:t>除颤监护仪1台</w:t>
      </w:r>
      <w:r>
        <w:rPr>
          <w:rFonts w:hint="eastAsia" w:ascii="宋体" w:hAnsi="宋体"/>
          <w:color w:val="auto"/>
          <w:szCs w:val="21"/>
          <w:highlight w:val="none"/>
          <w:lang w:eastAsia="zh-CN"/>
        </w:rPr>
        <w:t>、</w:t>
      </w:r>
      <w:r>
        <w:rPr>
          <w:rFonts w:hint="eastAsia" w:ascii="宋体" w:hAnsi="宋体"/>
          <w:color w:val="auto"/>
          <w:szCs w:val="21"/>
          <w:highlight w:val="none"/>
        </w:rPr>
        <w:t>心电图机1台</w:t>
      </w:r>
      <w:r>
        <w:rPr>
          <w:rFonts w:hint="eastAsia" w:ascii="宋体" w:hAnsi="宋体"/>
          <w:color w:val="auto"/>
          <w:szCs w:val="21"/>
          <w:highlight w:val="none"/>
          <w:lang w:eastAsia="zh-CN"/>
        </w:rPr>
        <w:t>、</w:t>
      </w:r>
      <w:r>
        <w:rPr>
          <w:rFonts w:hint="eastAsia" w:ascii="宋体" w:hAnsi="宋体"/>
          <w:color w:val="auto"/>
          <w:szCs w:val="21"/>
          <w:highlight w:val="none"/>
        </w:rPr>
        <w:t>血氧监测仪、快速血糖监测仪1台</w:t>
      </w:r>
      <w:r>
        <w:rPr>
          <w:rFonts w:hint="eastAsia" w:ascii="宋体" w:hAnsi="宋体"/>
          <w:color w:val="auto"/>
          <w:szCs w:val="21"/>
          <w:highlight w:val="none"/>
          <w:lang w:eastAsia="zh-CN"/>
        </w:rPr>
        <w:t>、</w:t>
      </w:r>
      <w:r>
        <w:rPr>
          <w:rFonts w:hint="eastAsia" w:ascii="宋体" w:hAnsi="宋体"/>
          <w:color w:val="auto"/>
          <w:szCs w:val="21"/>
          <w:highlight w:val="none"/>
        </w:rPr>
        <w:t>体外反搏仪（三气囊式）1台</w:t>
      </w:r>
      <w:r>
        <w:rPr>
          <w:rFonts w:hint="eastAsia" w:ascii="宋体" w:hAnsi="宋体"/>
          <w:color w:val="auto"/>
          <w:szCs w:val="21"/>
          <w:highlight w:val="none"/>
          <w:lang w:eastAsia="zh-CN"/>
        </w:rPr>
        <w:t>、</w:t>
      </w:r>
      <w:r>
        <w:rPr>
          <w:rFonts w:hint="eastAsia" w:ascii="宋体" w:hAnsi="宋体"/>
          <w:color w:val="auto"/>
          <w:szCs w:val="21"/>
          <w:highlight w:val="none"/>
        </w:rPr>
        <w:t>等离子空气消毒机（移动式）2台</w:t>
      </w:r>
      <w:r>
        <w:rPr>
          <w:rFonts w:hint="eastAsia" w:ascii="宋体" w:hAnsi="宋体"/>
          <w:color w:val="auto"/>
          <w:szCs w:val="21"/>
          <w:highlight w:val="none"/>
          <w:lang w:eastAsia="zh-CN"/>
        </w:rPr>
        <w:t>、</w:t>
      </w:r>
      <w:r>
        <w:rPr>
          <w:rFonts w:hint="eastAsia" w:ascii="宋体" w:hAnsi="宋体"/>
          <w:color w:val="auto"/>
          <w:szCs w:val="21"/>
          <w:highlight w:val="none"/>
        </w:rPr>
        <w:t>呼吸神经肌肉刺激仪1台</w:t>
      </w:r>
      <w:r>
        <w:rPr>
          <w:rFonts w:hint="eastAsia" w:ascii="宋体" w:hAnsi="宋体"/>
          <w:color w:val="auto"/>
          <w:szCs w:val="21"/>
          <w:highlight w:val="none"/>
          <w:lang w:eastAsia="zh-CN"/>
        </w:rPr>
        <w:t>、</w:t>
      </w:r>
      <w:r>
        <w:rPr>
          <w:rFonts w:hint="eastAsia" w:ascii="宋体" w:hAnsi="宋体"/>
          <w:color w:val="auto"/>
          <w:szCs w:val="21"/>
          <w:highlight w:val="none"/>
        </w:rPr>
        <w:t>动态血压2台</w:t>
      </w:r>
      <w:r>
        <w:rPr>
          <w:rFonts w:hint="eastAsia" w:ascii="宋体" w:hAnsi="宋体"/>
          <w:color w:val="auto"/>
          <w:szCs w:val="21"/>
          <w:highlight w:val="none"/>
          <w:lang w:eastAsia="zh-CN"/>
        </w:rPr>
        <w:t>、</w:t>
      </w:r>
      <w:r>
        <w:rPr>
          <w:rFonts w:hint="eastAsia" w:ascii="宋体" w:hAnsi="宋体"/>
          <w:color w:val="auto"/>
          <w:szCs w:val="21"/>
          <w:highlight w:val="none"/>
        </w:rPr>
        <w:t>急救车1台，中标人需完成标的物的安装调试，并一次性通过验收，设备质量应满足</w:t>
      </w:r>
      <w:r>
        <w:rPr>
          <w:rFonts w:hint="eastAsia"/>
          <w:color w:val="auto"/>
          <w:highlight w:val="none"/>
        </w:rPr>
        <w:t>国家及行业现行相关标准及规范。</w:t>
      </w:r>
    </w:p>
    <w:p w14:paraId="332D8FD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合同履行期限：</w:t>
      </w:r>
      <w:r>
        <w:rPr>
          <w:rFonts w:hint="eastAsia" w:ascii="宋体" w:hAnsi="宋体" w:cs="Arial"/>
          <w:bCs/>
          <w:color w:val="auto"/>
          <w:kern w:val="0"/>
          <w:szCs w:val="21"/>
          <w:highlight w:val="none"/>
          <w:lang w:eastAsia="zh-CN"/>
        </w:rPr>
        <w:t>合同签订后20个日历天内完成设备的安装调试及验收</w:t>
      </w:r>
      <w:r>
        <w:rPr>
          <w:rFonts w:hint="eastAsia" w:ascii="宋体" w:hAnsi="宋体" w:cs="Arial"/>
          <w:color w:val="auto"/>
          <w:kern w:val="0"/>
          <w:szCs w:val="21"/>
          <w:highlight w:val="none"/>
        </w:rPr>
        <w:t>。</w:t>
      </w:r>
    </w:p>
    <w:p w14:paraId="75F448E7">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本项目（否）接受联合体。</w:t>
      </w:r>
    </w:p>
    <w:p w14:paraId="379DB44A">
      <w:pPr>
        <w:pStyle w:val="5"/>
        <w:jc w:val="left"/>
        <w:rPr>
          <w:rFonts w:hint="eastAsia" w:ascii="宋体" w:hAnsi="宋体" w:eastAsia="宋体"/>
          <w:color w:val="auto"/>
          <w:sz w:val="21"/>
          <w:szCs w:val="21"/>
          <w:highlight w:val="none"/>
        </w:rPr>
      </w:pPr>
      <w:bookmarkStart w:id="8" w:name="_Toc35393799"/>
      <w:bookmarkStart w:id="9" w:name="_Toc28359013"/>
      <w:bookmarkStart w:id="10" w:name="_Toc28359090"/>
      <w:bookmarkStart w:id="11" w:name="_Toc35393630"/>
      <w:r>
        <w:rPr>
          <w:rFonts w:hint="eastAsia" w:ascii="宋体" w:hAnsi="宋体" w:eastAsia="宋体"/>
          <w:color w:val="auto"/>
          <w:sz w:val="21"/>
          <w:szCs w:val="21"/>
          <w:highlight w:val="none"/>
        </w:rPr>
        <w:t>二、申请人的资格要求</w:t>
      </w:r>
      <w:bookmarkEnd w:id="8"/>
      <w:bookmarkEnd w:id="9"/>
      <w:bookmarkEnd w:id="10"/>
      <w:bookmarkEnd w:id="11"/>
    </w:p>
    <w:p w14:paraId="381A43CA">
      <w:pPr>
        <w:snapToGrid w:val="0"/>
        <w:spacing w:line="360" w:lineRule="auto"/>
        <w:ind w:firstLine="420" w:firstLineChars="200"/>
        <w:rPr>
          <w:rFonts w:hint="eastAsia" w:ascii="宋体" w:hAnsi="宋体"/>
          <w:color w:val="auto"/>
          <w:szCs w:val="21"/>
          <w:highlight w:val="none"/>
        </w:rPr>
      </w:pPr>
      <w:bookmarkStart w:id="12" w:name="_Toc28359091"/>
      <w:bookmarkStart w:id="13" w:name="_Toc28359014"/>
      <w:r>
        <w:rPr>
          <w:rFonts w:hint="eastAsia" w:ascii="宋体" w:hAnsi="宋体"/>
          <w:color w:val="auto"/>
          <w:szCs w:val="21"/>
          <w:highlight w:val="none"/>
        </w:rPr>
        <w:t>1.满足《中华人民共和国政府采购法》第二十二条规定；</w:t>
      </w:r>
    </w:p>
    <w:p w14:paraId="62A76C1B">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2.落实政府采购政策需满足的资格要求：无，本项目不属于专门面向中小微企业采购的项目；</w:t>
      </w:r>
    </w:p>
    <w:p w14:paraId="4BEB2BD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怒江州中医医院心肺康复设备采购项目</w:t>
      </w:r>
      <w:r>
        <w:rPr>
          <w:rFonts w:hint="eastAsia" w:ascii="宋体" w:hAnsi="宋体"/>
          <w:color w:val="auto"/>
          <w:szCs w:val="21"/>
          <w:highlight w:val="none"/>
        </w:rPr>
        <w:t>：小微企业价格扣除优惠比例:10%；</w:t>
      </w:r>
    </w:p>
    <w:p w14:paraId="17FD9D6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w:t>
      </w:r>
    </w:p>
    <w:p w14:paraId="60A3472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3.1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w:t>
      </w:r>
    </w:p>
    <w:p w14:paraId="10C2D9EC">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所投产品被列入《医疗器械分类目录》内，投标人如果是代理商或经销商，须提供医疗器械经营许可/备案证，所投产品制造商医疗器械生产许可/备案证、所投产品的医疗器械注册证；投标人如果是制造商，须提供医疗器械生产许可/备案证、所投产品的医疗器械注册证。医疗器械生产或经营许可/备案证生产或经营范围须覆盖所投第二、三类医疗器械；</w:t>
      </w:r>
    </w:p>
    <w:p w14:paraId="778BC75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②所投产品未被列入《医疗器械分类目录》内，投标人须提供相关证明材料或书面声明；</w:t>
      </w:r>
    </w:p>
    <w:p w14:paraId="486B2F6B">
      <w:pPr>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3</w:t>
      </w:r>
      <w:r>
        <w:rPr>
          <w:rFonts w:ascii="宋体" w:hAnsi="宋体"/>
          <w:color w:val="auto"/>
          <w:szCs w:val="21"/>
          <w:highlight w:val="none"/>
        </w:rPr>
        <w:t>.2</w:t>
      </w:r>
      <w:r>
        <w:rPr>
          <w:rFonts w:hint="eastAsia" w:ascii="宋体" w:hAnsi="宋体"/>
          <w:color w:val="auto"/>
          <w:szCs w:val="21"/>
          <w:highlight w:val="none"/>
        </w:rPr>
        <w:t>投标人在递交投标文件截止之日前未被“信用中国”网站（www.creditchina.gov.cn）列入失信被执行人、重大税收违法失信主体，未被“中国政府采购网”（www.ccgp.gov.cn）列入政府采购严重违法失信行为信息记录；</w:t>
      </w:r>
      <w:r>
        <w:rPr>
          <w:rFonts w:hint="eastAsia" w:ascii="宋体" w:hAnsi="宋体"/>
          <w:color w:val="auto"/>
          <w:szCs w:val="21"/>
          <w:highlight w:val="none"/>
          <w:lang w:eastAsia="zh-CN"/>
        </w:rPr>
        <w:t>（由</w:t>
      </w:r>
      <w:r>
        <w:rPr>
          <w:rFonts w:hint="eastAsia" w:ascii="宋体" w:hAnsi="宋体"/>
          <w:color w:val="auto"/>
          <w:szCs w:val="21"/>
          <w:highlight w:val="none"/>
          <w:lang w:val="en-US" w:eastAsia="zh-CN"/>
        </w:rPr>
        <w:t>采购</w:t>
      </w:r>
      <w:r>
        <w:rPr>
          <w:rFonts w:hint="eastAsia" w:ascii="宋体" w:hAnsi="宋体"/>
          <w:color w:val="auto"/>
          <w:szCs w:val="21"/>
          <w:highlight w:val="none"/>
          <w:lang w:eastAsia="zh-CN"/>
        </w:rPr>
        <w:t>代理机构统一上网查询）</w:t>
      </w:r>
    </w:p>
    <w:p w14:paraId="5306FB67">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.3</w:t>
      </w:r>
      <w:r>
        <w:rPr>
          <w:rFonts w:hint="eastAsia" w:ascii="宋体" w:hAnsi="宋体"/>
          <w:color w:val="auto"/>
          <w:szCs w:val="21"/>
          <w:highlight w:val="none"/>
        </w:rPr>
        <w:t>单位负责人为同一人或者存在直接控股、管理关系的不同供应商，不得参加同一合同项下的政府采购活动。</w:t>
      </w:r>
    </w:p>
    <w:p w14:paraId="02EEA08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4</w:t>
      </w:r>
      <w:r>
        <w:rPr>
          <w:rFonts w:hint="eastAsia" w:ascii="宋体" w:hAnsi="宋体"/>
          <w:color w:val="auto"/>
          <w:szCs w:val="21"/>
          <w:highlight w:val="none"/>
        </w:rPr>
        <w:t>为本项目提供整体设计、规范编制或者项目管理、监理、检测等服务的供应商，不得再参加本项目的采购活动。</w:t>
      </w:r>
    </w:p>
    <w:p w14:paraId="4DE78EF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3.5投标人须保证使用方在设备和配套软件产品使用期不受第三方提出侵犯其专利权、商标权、工业设计权、著作权或其它知识产权的起诉，提供承诺函。</w:t>
      </w:r>
    </w:p>
    <w:p w14:paraId="47644676">
      <w:pPr>
        <w:pStyle w:val="5"/>
        <w:jc w:val="left"/>
        <w:rPr>
          <w:rFonts w:hint="eastAsia" w:ascii="宋体" w:hAnsi="宋体" w:eastAsia="宋体"/>
          <w:color w:val="auto"/>
          <w:sz w:val="21"/>
          <w:szCs w:val="21"/>
          <w:highlight w:val="none"/>
        </w:rPr>
      </w:pPr>
      <w:bookmarkStart w:id="14" w:name="_Toc35393631"/>
      <w:bookmarkStart w:id="15" w:name="_Toc35393800"/>
      <w:r>
        <w:rPr>
          <w:rFonts w:hint="eastAsia" w:ascii="宋体" w:hAnsi="宋体" w:eastAsia="宋体"/>
          <w:color w:val="auto"/>
          <w:sz w:val="21"/>
          <w:szCs w:val="21"/>
          <w:highlight w:val="none"/>
        </w:rPr>
        <w:t>三、获取招标文件</w:t>
      </w:r>
      <w:bookmarkEnd w:id="12"/>
      <w:bookmarkEnd w:id="13"/>
      <w:bookmarkEnd w:id="14"/>
      <w:bookmarkEnd w:id="15"/>
    </w:p>
    <w:p w14:paraId="6CF00790">
      <w:pPr>
        <w:snapToGrid w:val="0"/>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u w:val="single"/>
        </w:rPr>
        <w:t>2025年</w:t>
      </w:r>
      <w:r>
        <w:rPr>
          <w:rFonts w:hint="eastAsia" w:ascii="宋体" w:hAnsi="宋体" w:cs="宋体"/>
          <w:color w:val="auto"/>
          <w:szCs w:val="21"/>
          <w:highlight w:val="none"/>
          <w:u w:val="single"/>
          <w:lang w:val="en-US" w:eastAsia="zh-CN"/>
        </w:rPr>
        <w:t>08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07</w:t>
      </w:r>
      <w:r>
        <w:rPr>
          <w:rFonts w:hint="eastAsia" w:ascii="宋体" w:hAnsi="宋体" w:cs="宋体"/>
          <w:color w:val="auto"/>
          <w:szCs w:val="21"/>
          <w:highlight w:val="none"/>
          <w:u w:val="single"/>
        </w:rPr>
        <w:t>日</w:t>
      </w:r>
      <w:r>
        <w:rPr>
          <w:rFonts w:hint="eastAsia" w:ascii="宋体" w:hAnsi="宋体" w:cs="宋体"/>
          <w:color w:val="auto"/>
          <w:szCs w:val="21"/>
          <w:highlight w:val="none"/>
        </w:rPr>
        <w:t>至</w:t>
      </w:r>
      <w:r>
        <w:rPr>
          <w:rFonts w:hint="eastAsia" w:ascii="宋体" w:hAnsi="宋体" w:cs="宋体"/>
          <w:color w:val="auto"/>
          <w:szCs w:val="21"/>
          <w:highlight w:val="none"/>
          <w:u w:val="single"/>
        </w:rPr>
        <w:t>2025年</w:t>
      </w:r>
      <w:r>
        <w:rPr>
          <w:rFonts w:hint="eastAsia" w:ascii="宋体" w:hAnsi="宋体" w:cs="宋体"/>
          <w:color w:val="auto"/>
          <w:szCs w:val="21"/>
          <w:highlight w:val="none"/>
          <w:u w:val="single"/>
          <w:lang w:val="en-US" w:eastAsia="zh-CN"/>
        </w:rPr>
        <w:t>08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14</w:t>
      </w:r>
      <w:r>
        <w:rPr>
          <w:rFonts w:hint="eastAsia" w:ascii="宋体" w:hAnsi="宋体" w:cs="宋体"/>
          <w:color w:val="auto"/>
          <w:szCs w:val="21"/>
          <w:highlight w:val="none"/>
          <w:u w:val="single"/>
        </w:rPr>
        <w:t>日</w:t>
      </w:r>
      <w:r>
        <w:rPr>
          <w:rFonts w:hint="eastAsia" w:ascii="宋体" w:hAnsi="宋体" w:cs="宋体"/>
          <w:color w:val="auto"/>
          <w:szCs w:val="21"/>
          <w:highlight w:val="none"/>
        </w:rPr>
        <w:t>，每天上午</w:t>
      </w:r>
      <w:r>
        <w:rPr>
          <w:rFonts w:hint="eastAsia" w:ascii="宋体" w:hAnsi="宋体" w:cs="宋体"/>
          <w:color w:val="auto"/>
          <w:szCs w:val="21"/>
          <w:highlight w:val="none"/>
          <w:u w:val="single"/>
        </w:rPr>
        <w:t>0</w:t>
      </w:r>
      <w:r>
        <w:rPr>
          <w:rFonts w:ascii="宋体" w:hAnsi="宋体" w:cs="宋体"/>
          <w:color w:val="auto"/>
          <w:szCs w:val="21"/>
          <w:highlight w:val="none"/>
          <w:u w:val="single"/>
        </w:rPr>
        <w:t>6</w:t>
      </w:r>
      <w:r>
        <w:rPr>
          <w:rFonts w:hint="eastAsia" w:ascii="宋体" w:hAnsi="宋体" w:cs="宋体"/>
          <w:color w:val="auto"/>
          <w:szCs w:val="21"/>
          <w:highlight w:val="none"/>
          <w:u w:val="single"/>
        </w:rPr>
        <w:t>:00</w:t>
      </w:r>
      <w:r>
        <w:rPr>
          <w:rFonts w:hint="eastAsia" w:ascii="宋体" w:hAnsi="宋体" w:cs="宋体"/>
          <w:color w:val="auto"/>
          <w:szCs w:val="21"/>
          <w:highlight w:val="none"/>
        </w:rPr>
        <w:t>至</w:t>
      </w:r>
      <w:r>
        <w:rPr>
          <w:rFonts w:hint="eastAsia" w:ascii="宋体" w:hAnsi="宋体" w:cs="宋体"/>
          <w:color w:val="auto"/>
          <w:szCs w:val="21"/>
          <w:highlight w:val="none"/>
          <w:u w:val="single"/>
        </w:rPr>
        <w:t>12</w:t>
      </w:r>
      <w:r>
        <w:rPr>
          <w:rFonts w:ascii="宋体" w:hAnsi="宋体" w:cs="宋体"/>
          <w:color w:val="auto"/>
          <w:szCs w:val="21"/>
          <w:highlight w:val="none"/>
          <w:u w:val="single"/>
        </w:rPr>
        <w:t>:</w:t>
      </w:r>
      <w:r>
        <w:rPr>
          <w:rFonts w:hint="eastAsia" w:ascii="宋体" w:hAnsi="宋体" w:cs="宋体"/>
          <w:color w:val="auto"/>
          <w:szCs w:val="21"/>
          <w:highlight w:val="none"/>
          <w:u w:val="single"/>
        </w:rPr>
        <w:t>00</w:t>
      </w:r>
      <w:r>
        <w:rPr>
          <w:rFonts w:hint="eastAsia" w:ascii="宋体" w:hAnsi="宋体" w:cs="宋体"/>
          <w:color w:val="auto"/>
          <w:szCs w:val="21"/>
          <w:highlight w:val="none"/>
        </w:rPr>
        <w:t>，下午</w:t>
      </w:r>
      <w:r>
        <w:rPr>
          <w:rFonts w:hint="eastAsia" w:ascii="宋体" w:hAnsi="宋体" w:cs="宋体"/>
          <w:color w:val="auto"/>
          <w:szCs w:val="21"/>
          <w:highlight w:val="none"/>
          <w:u w:val="single"/>
        </w:rPr>
        <w:t>12</w:t>
      </w:r>
      <w:r>
        <w:rPr>
          <w:rFonts w:ascii="宋体" w:hAnsi="宋体" w:cs="宋体"/>
          <w:color w:val="auto"/>
          <w:szCs w:val="21"/>
          <w:highlight w:val="none"/>
          <w:u w:val="single"/>
        </w:rPr>
        <w:t>:</w:t>
      </w:r>
      <w:r>
        <w:rPr>
          <w:rFonts w:hint="eastAsia" w:ascii="宋体" w:hAnsi="宋体" w:cs="宋体"/>
          <w:color w:val="auto"/>
          <w:szCs w:val="21"/>
          <w:highlight w:val="none"/>
          <w:u w:val="single"/>
        </w:rPr>
        <w:t>00</w:t>
      </w:r>
      <w:r>
        <w:rPr>
          <w:rFonts w:hint="eastAsia" w:ascii="宋体" w:hAnsi="宋体" w:cs="宋体"/>
          <w:color w:val="auto"/>
          <w:szCs w:val="21"/>
          <w:highlight w:val="none"/>
        </w:rPr>
        <w:t>至</w:t>
      </w:r>
      <w:r>
        <w:rPr>
          <w:rFonts w:hint="eastAsia" w:ascii="宋体" w:hAnsi="宋体" w:cs="宋体"/>
          <w:color w:val="auto"/>
          <w:szCs w:val="21"/>
          <w:highlight w:val="none"/>
          <w:u w:val="single"/>
        </w:rPr>
        <w:t>23</w:t>
      </w:r>
      <w:r>
        <w:rPr>
          <w:rFonts w:ascii="宋体" w:hAnsi="宋体" w:cs="宋体"/>
          <w:color w:val="auto"/>
          <w:szCs w:val="21"/>
          <w:highlight w:val="none"/>
          <w:u w:val="single"/>
        </w:rPr>
        <w:t>:</w:t>
      </w:r>
      <w:r>
        <w:rPr>
          <w:rFonts w:hint="eastAsia" w:ascii="宋体" w:hAnsi="宋体" w:cs="宋体"/>
          <w:color w:val="auto"/>
          <w:szCs w:val="21"/>
          <w:highlight w:val="none"/>
          <w:u w:val="single"/>
        </w:rPr>
        <w:t>59</w:t>
      </w:r>
      <w:r>
        <w:rPr>
          <w:rFonts w:hint="eastAsia" w:ascii="宋体" w:hAnsi="宋体" w:cs="宋体"/>
          <w:color w:val="auto"/>
          <w:szCs w:val="21"/>
          <w:highlight w:val="none"/>
        </w:rPr>
        <w:t>（北京时间，</w:t>
      </w:r>
      <w:r>
        <w:rPr>
          <w:rFonts w:ascii="宋体" w:hAnsi="宋体" w:cs="宋体"/>
          <w:color w:val="auto"/>
          <w:szCs w:val="21"/>
          <w:highlight w:val="none"/>
        </w:rPr>
        <w:t>法定节假日</w:t>
      </w:r>
      <w:r>
        <w:rPr>
          <w:rFonts w:hint="eastAsia" w:ascii="宋体" w:hAnsi="宋体" w:cs="宋体"/>
          <w:color w:val="auto"/>
          <w:szCs w:val="21"/>
          <w:highlight w:val="none"/>
        </w:rPr>
        <w:t>除外）；</w:t>
      </w:r>
    </w:p>
    <w:p w14:paraId="4F5F1254">
      <w:pPr>
        <w:snapToGrid w:val="0"/>
        <w:spacing w:line="360" w:lineRule="auto"/>
        <w:ind w:firstLine="540"/>
        <w:rPr>
          <w:rFonts w:hint="eastAsia" w:ascii="宋体" w:hAnsi="宋体" w:cs="宋体"/>
          <w:color w:val="auto"/>
          <w:szCs w:val="21"/>
          <w:highlight w:val="none"/>
          <w:u w:val="single"/>
        </w:rPr>
      </w:pPr>
      <w:r>
        <w:rPr>
          <w:rFonts w:hint="eastAsia" w:ascii="宋体" w:hAnsi="宋体" w:cs="宋体"/>
          <w:color w:val="auto"/>
          <w:szCs w:val="21"/>
          <w:highlight w:val="none"/>
        </w:rPr>
        <w:t>地点：</w:t>
      </w:r>
      <w:r>
        <w:rPr>
          <w:rFonts w:hint="eastAsia" w:ascii="宋体" w:hAnsi="宋体"/>
          <w:color w:val="auto"/>
          <w:szCs w:val="21"/>
          <w:highlight w:val="none"/>
        </w:rPr>
        <w:t>政采云平台线上（https:</w:t>
      </w:r>
      <w:bookmarkStart w:id="211" w:name="_GoBack"/>
      <w:bookmarkEnd w:id="211"/>
      <w:r>
        <w:rPr>
          <w:rFonts w:hint="eastAsia" w:ascii="宋体" w:hAnsi="宋体"/>
          <w:color w:val="auto"/>
          <w:szCs w:val="21"/>
          <w:highlight w:val="none"/>
        </w:rPr>
        <w:t>//www.zcygov.cn/）。</w:t>
      </w:r>
    </w:p>
    <w:p w14:paraId="0D4EF377">
      <w:pPr>
        <w:snapToGrid w:val="0"/>
        <w:spacing w:line="360" w:lineRule="auto"/>
        <w:ind w:firstLine="540"/>
        <w:rPr>
          <w:rFonts w:hint="eastAsia" w:ascii="宋体" w:hAnsi="宋体"/>
          <w:color w:val="auto"/>
          <w:szCs w:val="21"/>
          <w:highlight w:val="none"/>
        </w:rPr>
      </w:pPr>
      <w:r>
        <w:rPr>
          <w:rFonts w:hint="eastAsia" w:ascii="宋体" w:hAnsi="宋体" w:cs="宋体"/>
          <w:color w:val="auto"/>
          <w:szCs w:val="21"/>
          <w:highlight w:val="none"/>
        </w:rPr>
        <w:t>方式：</w:t>
      </w:r>
      <w:r>
        <w:rPr>
          <w:rFonts w:hint="eastAsia" w:ascii="宋体" w:hAnsi="宋体"/>
          <w:color w:val="auto"/>
          <w:szCs w:val="21"/>
          <w:highlight w:val="none"/>
        </w:rPr>
        <w:t>凡 有 意 参 加 投 标 者 ， 须 在 政 采 云 平 台 办 理 数 字 证 书 （ CA ） ， CA 申 领 链 接 ：https://middle.zcygov.cn/ca/apply/list?_app_=zcy.sys，并在政采云绑定数字证书（CA）后在网上获取采购文件及其它采购资料，数字证书（CA）详见其办理流程。注：云南本地供应商如之前已在云南 CA在线数字证书办理网进行过注册并办理过企业数字证书（CA），直接绑定即可，无需重复办理（2022年1月1日前办理的云南 CA 需到云南 CA 办理处进行升级）。外省供应商在政采云平台办理的其他 CA 可直接使用，无需重复办理。按上述要求获取文件的供应商视为合法获取了本项目采购文件，具备本项目的投标资格。</w:t>
      </w:r>
    </w:p>
    <w:p w14:paraId="28DED2A1">
      <w:pPr>
        <w:snapToGrid w:val="0"/>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售价：</w:t>
      </w:r>
      <w:r>
        <w:rPr>
          <w:rFonts w:ascii="宋体" w:hAnsi="宋体" w:cs="宋体"/>
          <w:color w:val="auto"/>
          <w:szCs w:val="21"/>
          <w:highlight w:val="none"/>
        </w:rPr>
        <w:t>0</w:t>
      </w:r>
      <w:r>
        <w:rPr>
          <w:rFonts w:hint="eastAsia" w:ascii="宋体" w:hAnsi="宋体" w:cs="宋体"/>
          <w:color w:val="auto"/>
          <w:szCs w:val="21"/>
          <w:highlight w:val="none"/>
        </w:rPr>
        <w:t>元</w:t>
      </w:r>
    </w:p>
    <w:p w14:paraId="07433F63">
      <w:pPr>
        <w:pStyle w:val="5"/>
        <w:jc w:val="left"/>
        <w:rPr>
          <w:rFonts w:hint="eastAsia" w:ascii="宋体" w:hAnsi="宋体" w:eastAsia="宋体"/>
          <w:color w:val="auto"/>
          <w:sz w:val="21"/>
          <w:szCs w:val="21"/>
          <w:highlight w:val="none"/>
        </w:rPr>
      </w:pPr>
      <w:bookmarkStart w:id="16" w:name="_Toc28359092"/>
      <w:bookmarkStart w:id="17" w:name="_Toc28359015"/>
      <w:bookmarkStart w:id="18" w:name="_Toc35393801"/>
      <w:bookmarkStart w:id="19" w:name="_Toc35393632"/>
      <w:r>
        <w:rPr>
          <w:rFonts w:hint="eastAsia" w:ascii="宋体" w:hAnsi="宋体" w:eastAsia="宋体"/>
          <w:color w:val="auto"/>
          <w:sz w:val="21"/>
          <w:szCs w:val="21"/>
          <w:highlight w:val="none"/>
        </w:rPr>
        <w:t>四、</w:t>
      </w:r>
      <w:bookmarkEnd w:id="16"/>
      <w:bookmarkEnd w:id="17"/>
      <w:bookmarkEnd w:id="18"/>
      <w:bookmarkEnd w:id="19"/>
      <w:r>
        <w:rPr>
          <w:rFonts w:hint="eastAsia" w:ascii="宋体" w:hAnsi="宋体" w:eastAsia="宋体"/>
          <w:color w:val="auto"/>
          <w:sz w:val="21"/>
          <w:szCs w:val="21"/>
          <w:highlight w:val="none"/>
        </w:rPr>
        <w:t>提交投标文件截止时间、开标时间和地点</w:t>
      </w:r>
    </w:p>
    <w:p w14:paraId="39E364B9">
      <w:pPr>
        <w:snapToGrid w:val="0"/>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截止时间：</w:t>
      </w:r>
      <w:r>
        <w:rPr>
          <w:rFonts w:hint="eastAsia" w:ascii="宋体" w:hAnsi="宋体"/>
          <w:color w:val="auto"/>
          <w:szCs w:val="21"/>
          <w:highlight w:val="none"/>
          <w:u w:val="single"/>
        </w:rPr>
        <w:t>2025年</w:t>
      </w:r>
      <w:r>
        <w:rPr>
          <w:rFonts w:hint="eastAsia" w:ascii="宋体" w:hAnsi="宋体"/>
          <w:color w:val="auto"/>
          <w:szCs w:val="21"/>
          <w:highlight w:val="none"/>
          <w:u w:val="single"/>
          <w:lang w:val="en-US" w:eastAsia="zh-CN"/>
        </w:rPr>
        <w:t>08</w:t>
      </w:r>
      <w:r>
        <w:rPr>
          <w:rFonts w:hint="eastAsia" w:ascii="宋体" w:hAnsi="宋体"/>
          <w:color w:val="auto"/>
          <w:szCs w:val="21"/>
          <w:highlight w:val="none"/>
          <w:u w:val="single"/>
        </w:rPr>
        <w:t>月</w:t>
      </w:r>
      <w:r>
        <w:rPr>
          <w:rFonts w:hint="eastAsia" w:ascii="宋体" w:hAnsi="宋体"/>
          <w:color w:val="auto"/>
          <w:szCs w:val="21"/>
          <w:highlight w:val="none"/>
          <w:u w:val="single"/>
          <w:lang w:val="en-US" w:eastAsia="zh-CN"/>
        </w:rPr>
        <w:t>27</w:t>
      </w:r>
      <w:r>
        <w:rPr>
          <w:rFonts w:ascii="宋体" w:hAnsi="宋体"/>
          <w:color w:val="auto"/>
          <w:szCs w:val="21"/>
          <w:highlight w:val="none"/>
          <w:u w:val="single"/>
        </w:rPr>
        <w:t>日09</w:t>
      </w:r>
      <w:r>
        <w:rPr>
          <w:rFonts w:hint="eastAsia" w:ascii="宋体" w:hAnsi="宋体"/>
          <w:color w:val="auto"/>
          <w:szCs w:val="21"/>
          <w:highlight w:val="none"/>
          <w:u w:val="single"/>
        </w:rPr>
        <w:t>点3</w:t>
      </w:r>
      <w:r>
        <w:rPr>
          <w:rFonts w:ascii="宋体" w:hAnsi="宋体"/>
          <w:color w:val="auto"/>
          <w:szCs w:val="21"/>
          <w:highlight w:val="none"/>
          <w:u w:val="single"/>
        </w:rPr>
        <w:t>0</w:t>
      </w:r>
      <w:r>
        <w:rPr>
          <w:rFonts w:hint="eastAsia" w:ascii="宋体" w:hAnsi="宋体"/>
          <w:color w:val="auto"/>
          <w:szCs w:val="21"/>
          <w:highlight w:val="none"/>
          <w:u w:val="single"/>
        </w:rPr>
        <w:t>分</w:t>
      </w:r>
      <w:r>
        <w:rPr>
          <w:rFonts w:hint="eastAsia" w:ascii="宋体" w:hAnsi="宋体"/>
          <w:bCs/>
          <w:color w:val="auto"/>
          <w:szCs w:val="21"/>
          <w:highlight w:val="none"/>
        </w:rPr>
        <w:t>（北京时间）</w:t>
      </w:r>
      <w:r>
        <w:rPr>
          <w:rFonts w:hint="eastAsia" w:ascii="宋体" w:hAnsi="宋体" w:cs="宋体"/>
          <w:iCs/>
          <w:color w:val="auto"/>
          <w:szCs w:val="21"/>
          <w:highlight w:val="none"/>
        </w:rPr>
        <w:t>；</w:t>
      </w:r>
    </w:p>
    <w:p w14:paraId="639BEA0B">
      <w:pPr>
        <w:snapToGrid w:val="0"/>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地点：供应商应按照本项目采购文件和“政采云”平台的要求编制、加密后在投标文件提交截止时间前上传至“政采云”平台，投标文件提交截止时间前未完成投标文件上传的，视为撤回投标文件。供应商在“政采云”平台提交电子版投标文件时，请填写参加远程采购活动经办人联系方式。</w:t>
      </w:r>
    </w:p>
    <w:p w14:paraId="6F6E83DB">
      <w:pPr>
        <w:pStyle w:val="5"/>
        <w:jc w:val="left"/>
        <w:rPr>
          <w:rFonts w:hint="eastAsia" w:ascii="宋体" w:hAnsi="宋体" w:eastAsia="宋体"/>
          <w:color w:val="auto"/>
          <w:sz w:val="21"/>
          <w:szCs w:val="21"/>
          <w:highlight w:val="none"/>
        </w:rPr>
      </w:pPr>
      <w:bookmarkStart w:id="20" w:name="_Toc28359017"/>
      <w:bookmarkStart w:id="21" w:name="_Toc35393634"/>
      <w:bookmarkStart w:id="22" w:name="_Toc28359094"/>
      <w:bookmarkStart w:id="23" w:name="_Toc35393803"/>
      <w:r>
        <w:rPr>
          <w:rFonts w:hint="eastAsia" w:ascii="宋体" w:hAnsi="宋体" w:eastAsia="宋体"/>
          <w:color w:val="auto"/>
          <w:sz w:val="21"/>
          <w:szCs w:val="21"/>
          <w:highlight w:val="none"/>
        </w:rPr>
        <w:t>五、公告期限</w:t>
      </w:r>
      <w:bookmarkEnd w:id="20"/>
      <w:bookmarkEnd w:id="21"/>
      <w:bookmarkEnd w:id="22"/>
      <w:bookmarkEnd w:id="23"/>
    </w:p>
    <w:p w14:paraId="7DC55CEB">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w:t>
      </w:r>
      <w:r>
        <w:rPr>
          <w:rFonts w:ascii="宋体" w:hAnsi="宋体" w:cs="宋体"/>
          <w:color w:val="auto"/>
          <w:kern w:val="0"/>
          <w:szCs w:val="21"/>
          <w:highlight w:val="none"/>
        </w:rPr>
        <w:t>5</w:t>
      </w:r>
      <w:r>
        <w:rPr>
          <w:rFonts w:hint="eastAsia" w:ascii="宋体" w:hAnsi="宋体" w:cs="宋体"/>
          <w:color w:val="auto"/>
          <w:kern w:val="0"/>
          <w:szCs w:val="21"/>
          <w:highlight w:val="none"/>
        </w:rPr>
        <w:t>个工作日。</w:t>
      </w:r>
    </w:p>
    <w:p w14:paraId="178AA706">
      <w:pPr>
        <w:pStyle w:val="5"/>
        <w:jc w:val="left"/>
        <w:rPr>
          <w:rFonts w:hint="eastAsia" w:ascii="宋体" w:hAnsi="宋体" w:eastAsia="宋体"/>
          <w:color w:val="auto"/>
          <w:sz w:val="21"/>
          <w:szCs w:val="21"/>
          <w:highlight w:val="none"/>
        </w:rPr>
      </w:pPr>
      <w:bookmarkStart w:id="24" w:name="_Toc35393804"/>
      <w:bookmarkStart w:id="25" w:name="_Toc35393635"/>
      <w:r>
        <w:rPr>
          <w:rFonts w:hint="eastAsia" w:ascii="宋体" w:hAnsi="宋体" w:eastAsia="宋体"/>
          <w:color w:val="auto"/>
          <w:sz w:val="21"/>
          <w:szCs w:val="21"/>
          <w:highlight w:val="none"/>
        </w:rPr>
        <w:t>六、其他补充事宜</w:t>
      </w:r>
      <w:bookmarkEnd w:id="24"/>
      <w:bookmarkEnd w:id="25"/>
      <w:bookmarkStart w:id="26" w:name="_Toc28359018"/>
      <w:bookmarkStart w:id="27" w:name="_Toc35393805"/>
      <w:bookmarkStart w:id="28" w:name="_Toc35393636"/>
      <w:bookmarkStart w:id="29" w:name="_Toc28359095"/>
    </w:p>
    <w:p w14:paraId="3D364A3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开标方式：网上开标</w:t>
      </w:r>
    </w:p>
    <w:p w14:paraId="66C9692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是否需要缴纳投标保证金：是</w:t>
      </w:r>
    </w:p>
    <w:p w14:paraId="57D318B0">
      <w:pPr>
        <w:snapToGrid w:val="0"/>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u w:val="single"/>
          <w:lang w:eastAsia="zh-CN"/>
        </w:rPr>
        <w:t>怒江州中医医院心肺康复设备采购项目</w:t>
      </w:r>
      <w:r>
        <w:rPr>
          <w:rFonts w:hint="eastAsia" w:ascii="宋体" w:hAnsi="宋体" w:cs="宋体"/>
          <w:color w:val="auto"/>
          <w:szCs w:val="21"/>
          <w:highlight w:val="none"/>
        </w:rPr>
        <w:t>:</w:t>
      </w:r>
    </w:p>
    <w:p w14:paraId="586701E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保证金金额：</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000</w:t>
      </w:r>
      <w:r>
        <w:rPr>
          <w:rFonts w:ascii="宋体" w:hAnsi="宋体" w:cs="宋体"/>
          <w:color w:val="auto"/>
          <w:szCs w:val="21"/>
          <w:highlight w:val="none"/>
        </w:rPr>
        <w:t>.00</w:t>
      </w:r>
      <w:r>
        <w:rPr>
          <w:rFonts w:hint="eastAsia" w:ascii="宋体" w:hAnsi="宋体" w:cs="宋体"/>
          <w:color w:val="auto"/>
          <w:szCs w:val="21"/>
          <w:highlight w:val="none"/>
        </w:rPr>
        <w:t>（元）</w:t>
      </w:r>
    </w:p>
    <w:p w14:paraId="02C0352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保证金缴纳方式：支票、汇票、本票、保函、保证保险、</w:t>
      </w:r>
      <w:r>
        <w:rPr>
          <w:rFonts w:hint="eastAsia"/>
          <w:color w:val="auto"/>
          <w:highlight w:val="none"/>
        </w:rPr>
        <w:t>电汇、网银、转账</w:t>
      </w:r>
      <w:r>
        <w:rPr>
          <w:rFonts w:hint="eastAsia" w:ascii="宋体" w:hAnsi="宋体" w:cs="宋体"/>
          <w:color w:val="auto"/>
          <w:szCs w:val="21"/>
          <w:highlight w:val="none"/>
        </w:rPr>
        <w:t>等非现金方式</w:t>
      </w:r>
    </w:p>
    <w:p w14:paraId="22C43B9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保证金缴纳截止时间：2025年</w:t>
      </w:r>
      <w:r>
        <w:rPr>
          <w:rFonts w:hint="eastAsia" w:ascii="宋体" w:hAnsi="宋体" w:cs="宋体"/>
          <w:color w:val="auto"/>
          <w:szCs w:val="21"/>
          <w:highlight w:val="none"/>
          <w:lang w:val="en-US" w:eastAsia="zh-CN"/>
        </w:rPr>
        <w:t>08</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27</w:t>
      </w:r>
      <w:r>
        <w:rPr>
          <w:rFonts w:hint="eastAsia" w:ascii="宋体" w:hAnsi="宋体" w:cs="宋体"/>
          <w:color w:val="auto"/>
          <w:szCs w:val="21"/>
          <w:highlight w:val="none"/>
        </w:rPr>
        <w:t>日09点30分</w:t>
      </w:r>
    </w:p>
    <w:p w14:paraId="5D2FC81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其他：</w:t>
      </w:r>
    </w:p>
    <w:p w14:paraId="0D1BBA81">
      <w:pPr>
        <w:snapToGrid w:val="0"/>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、本项目公告发布媒体：本次招标公告在《云南省政府采购网》、</w:t>
      </w:r>
      <w:r>
        <w:rPr>
          <w:rFonts w:hint="eastAsia" w:ascii="宋体" w:hAnsi="宋体" w:cs="宋体"/>
          <w:color w:val="auto"/>
          <w:szCs w:val="21"/>
          <w:highlight w:val="none"/>
        </w:rPr>
        <w:t>《</w:t>
      </w:r>
      <w:r>
        <w:rPr>
          <w:rFonts w:hint="eastAsia" w:ascii="宋体" w:hAnsi="宋体" w:cs="宋体"/>
          <w:color w:val="auto"/>
          <w:szCs w:val="21"/>
          <w:highlight w:val="none"/>
          <w:lang w:eastAsia="zh-CN"/>
        </w:rPr>
        <w:t>怒江州中医医院</w:t>
      </w:r>
      <w:r>
        <w:rPr>
          <w:rFonts w:hint="eastAsia" w:ascii="宋体" w:hAnsi="宋体" w:cs="宋体"/>
          <w:color w:val="auto"/>
          <w:szCs w:val="21"/>
          <w:highlight w:val="none"/>
        </w:rPr>
        <w:t>官网》</w:t>
      </w:r>
      <w:r>
        <w:rPr>
          <w:rFonts w:hint="eastAsia" w:ascii="宋体" w:hAnsi="宋体" w:cs="宋体"/>
          <w:color w:val="auto"/>
          <w:szCs w:val="21"/>
          <w:highlight w:val="none"/>
        </w:rPr>
        <w:t>上发布，采购人及采购代理机构对其他网站发布或转载的公告内容不承担任何责任。</w:t>
      </w:r>
    </w:p>
    <w:p w14:paraId="7BCE976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color w:val="auto"/>
          <w:highlight w:val="none"/>
        </w:rPr>
        <w:t>投标人须对本项目所有内容进行整体投标，不得缺项漏项，否则按不实质性响应招标文件处理。</w:t>
      </w:r>
    </w:p>
    <w:p w14:paraId="3F93B252">
      <w:pPr>
        <w:snapToGrid w:val="0"/>
        <w:spacing w:line="360" w:lineRule="auto"/>
        <w:ind w:firstLine="420" w:firstLineChars="200"/>
        <w:rPr>
          <w:color w:val="auto"/>
          <w:highlight w:val="none"/>
        </w:rPr>
      </w:pPr>
      <w:r>
        <w:rPr>
          <w:rFonts w:hint="eastAsia"/>
          <w:color w:val="auto"/>
          <w:highlight w:val="none"/>
        </w:rPr>
        <w:t>3、质量标准：满足国家及行业现行相关标准及规范。</w:t>
      </w:r>
    </w:p>
    <w:p w14:paraId="202CD486">
      <w:pPr>
        <w:snapToGrid w:val="0"/>
        <w:spacing w:line="360" w:lineRule="auto"/>
        <w:ind w:firstLine="420" w:firstLineChars="200"/>
        <w:rPr>
          <w:rFonts w:hint="eastAsia" w:ascii="宋体" w:hAnsi="宋体" w:cs="宋体"/>
          <w:color w:val="auto"/>
          <w:szCs w:val="21"/>
          <w:highlight w:val="none"/>
        </w:rPr>
      </w:pPr>
      <w:r>
        <w:rPr>
          <w:rFonts w:hint="eastAsia"/>
          <w:color w:val="auto"/>
          <w:highlight w:val="none"/>
        </w:rPr>
        <w:t>4、本</w:t>
      </w:r>
      <w:r>
        <w:rPr>
          <w:rFonts w:hint="eastAsia"/>
          <w:color w:val="auto"/>
          <w:highlight w:val="none"/>
          <w:lang w:val="en-US" w:eastAsia="zh-CN"/>
        </w:rPr>
        <w:t>项目</w:t>
      </w:r>
      <w:r>
        <w:rPr>
          <w:rFonts w:hint="eastAsia"/>
          <w:color w:val="auto"/>
          <w:highlight w:val="none"/>
        </w:rPr>
        <w:t>不接受进口产品，进口产品是指通过中国海关报关验放进入中国境内且产自关境外的产品。</w:t>
      </w:r>
    </w:p>
    <w:p w14:paraId="72E1DF4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5、注意事项：</w:t>
      </w:r>
    </w:p>
    <w:p w14:paraId="5E3EEB3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5.1本项目为不见面开标，投标单位无需到达现场；</w:t>
      </w:r>
    </w:p>
    <w:p w14:paraId="2ED2DA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5.2本项目实行网上投标，采用电子投标文件；</w:t>
      </w:r>
    </w:p>
    <w:p w14:paraId="6A143BF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5.3各供应商应在开标前应确保成为政采云平台供应商，并完成CA数字证书申领。因未注册入库、未办理CA数字证书等原因造成无法投标或投标失败等后果由供应商自行承担。 凡有意参加投标的供应商，须在政采云平台办理数字证书（CA）CA申领链接：https://middle.zcygov.cn/ca/apply/list?_app_=zcy.sys，并 通过政采云绑定数字证书（CA）后在网上获取采购文件及其它采购资料，数字证书（CA）详见其办理流程；</w:t>
      </w:r>
    </w:p>
    <w:p w14:paraId="254D0457">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供应商将政采云电子交易客户端下载、安装完成后，可通过账号密码或CA登录客户端进行投标文件的制作。在使用政采云投标客户端时，建议使用WIN7（64位）及以上操作系统。客户端请至政采云公司网站（https://edu.zcygov.cn/luban/yunnan-dzjy-gys）进行查看下载，如有问题可拨打政采云客户服务热线400-881-7190进行咨询以及云南CA操作问题：请致电云南CA，4006727666； 云南CA紧急联系方式：15288315056。云南壹证通CA操作问题请致电：4000040628；云南壹证通CA紧急联系方式：19988166369。如因供应商自身原因导致在规定时间内无法正常解密的（如：浏览器故障、未安装相关驱动、网络故障、加密CA与解密CA不一致等），代理机构不予异常处理，视为供应商自动弃标。</w:t>
      </w:r>
    </w:p>
    <w:p w14:paraId="16AC4B62">
      <w:pPr>
        <w:pStyle w:val="5"/>
        <w:jc w:val="lef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七、对本次招标提出询问，请按以下方式联系</w:t>
      </w:r>
      <w:bookmarkEnd w:id="26"/>
      <w:bookmarkEnd w:id="27"/>
      <w:bookmarkEnd w:id="28"/>
      <w:bookmarkEnd w:id="29"/>
    </w:p>
    <w:p w14:paraId="6AD4B6E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7D79C6FB">
      <w:pPr>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怒江傈僳族自治州中医医院</w:t>
      </w:r>
    </w:p>
    <w:p w14:paraId="43D3902E">
      <w:pPr>
        <w:snapToGrid w:val="0"/>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地  址：云南省怒江州泸水市</w:t>
      </w:r>
      <w:r>
        <w:rPr>
          <w:rFonts w:hint="eastAsia" w:ascii="宋体" w:hAnsi="宋体" w:cs="宋体"/>
          <w:color w:val="auto"/>
          <w:szCs w:val="21"/>
          <w:highlight w:val="none"/>
          <w:lang w:val="en-US" w:eastAsia="zh-CN"/>
        </w:rPr>
        <w:t>大练地街道办怒江州中医医院</w:t>
      </w:r>
    </w:p>
    <w:p w14:paraId="264F1E7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联系方式：0886-3051880</w:t>
      </w:r>
    </w:p>
    <w:p w14:paraId="444F6D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bookmarkEnd w:id="3"/>
    <w:p w14:paraId="3627C367">
      <w:pPr>
        <w:spacing w:line="360" w:lineRule="auto"/>
        <w:ind w:firstLine="420"/>
        <w:rPr>
          <w:color w:val="auto"/>
          <w:highlight w:val="none"/>
        </w:rPr>
      </w:pPr>
      <w:r>
        <w:rPr>
          <w:rFonts w:hint="eastAsia"/>
          <w:color w:val="auto"/>
          <w:highlight w:val="none"/>
        </w:rPr>
        <w:t>名 称：云南招标股份有限公司</w:t>
      </w:r>
    </w:p>
    <w:p w14:paraId="2E801758">
      <w:pPr>
        <w:spacing w:line="360" w:lineRule="auto"/>
        <w:ind w:firstLine="420"/>
        <w:rPr>
          <w:color w:val="auto"/>
          <w:highlight w:val="none"/>
        </w:rPr>
      </w:pPr>
      <w:r>
        <w:rPr>
          <w:rFonts w:hint="eastAsia"/>
          <w:color w:val="auto"/>
          <w:highlight w:val="none"/>
        </w:rPr>
        <w:t>地址：云南省昆明市人民西路328号</w:t>
      </w:r>
    </w:p>
    <w:p w14:paraId="030C450B">
      <w:pPr>
        <w:spacing w:line="360" w:lineRule="auto"/>
        <w:ind w:firstLine="420"/>
        <w:rPr>
          <w:color w:val="auto"/>
          <w:highlight w:val="none"/>
        </w:rPr>
      </w:pPr>
      <w:r>
        <w:rPr>
          <w:rFonts w:hint="eastAsia"/>
          <w:color w:val="auto"/>
          <w:highlight w:val="none"/>
        </w:rPr>
        <w:t>联系方式：</w:t>
      </w:r>
      <w:r>
        <w:rPr>
          <w:color w:val="auto"/>
          <w:highlight w:val="none"/>
        </w:rPr>
        <w:t>0871-65425389</w:t>
      </w:r>
    </w:p>
    <w:p w14:paraId="08C161B5">
      <w:pPr>
        <w:spacing w:line="360" w:lineRule="auto"/>
        <w:ind w:firstLine="420"/>
        <w:rPr>
          <w:color w:val="auto"/>
          <w:highlight w:val="none"/>
        </w:rPr>
      </w:pPr>
      <w:r>
        <w:rPr>
          <w:rFonts w:hint="eastAsia"/>
          <w:color w:val="auto"/>
          <w:highlight w:val="none"/>
        </w:rPr>
        <w:t>3.项目联系方式</w:t>
      </w:r>
    </w:p>
    <w:p w14:paraId="7DCE24C2">
      <w:pPr>
        <w:spacing w:line="360" w:lineRule="auto"/>
        <w:ind w:firstLine="420"/>
        <w:rPr>
          <w:color w:val="auto"/>
          <w:highlight w:val="none"/>
        </w:rPr>
      </w:pPr>
      <w:r>
        <w:rPr>
          <w:rFonts w:hint="eastAsia"/>
          <w:color w:val="auto"/>
          <w:highlight w:val="none"/>
        </w:rPr>
        <w:t>项目联系人：王彬宇、戴士程、刘阳、邓昭帅</w:t>
      </w:r>
    </w:p>
    <w:p w14:paraId="68652CA9">
      <w:pPr>
        <w:spacing w:line="360" w:lineRule="auto"/>
        <w:ind w:firstLine="420"/>
        <w:rPr>
          <w:color w:val="auto"/>
          <w:highlight w:val="none"/>
        </w:rPr>
      </w:pPr>
      <w:r>
        <w:rPr>
          <w:rFonts w:hint="eastAsia"/>
          <w:color w:val="auto"/>
          <w:highlight w:val="none"/>
        </w:rPr>
        <w:t>电　话：</w:t>
      </w:r>
      <w:r>
        <w:rPr>
          <w:color w:val="auto"/>
          <w:highlight w:val="none"/>
        </w:rPr>
        <w:t>0871-65425389</w:t>
      </w:r>
    </w:p>
    <w:bookmarkEnd w:id="2"/>
    <w:p w14:paraId="0C6F4C9A">
      <w:pPr>
        <w:widowControl/>
        <w:jc w:val="left"/>
        <w:rPr>
          <w:color w:val="auto"/>
          <w:highlight w:val="none"/>
        </w:rPr>
      </w:pPr>
    </w:p>
    <w:p w14:paraId="24DA776E">
      <w:pPr>
        <w:pStyle w:val="30"/>
        <w:adjustRightInd w:val="0"/>
        <w:snapToGrid w:val="0"/>
        <w:spacing w:before="0" w:after="0" w:line="360" w:lineRule="auto"/>
        <w:rPr>
          <w:rFonts w:hint="eastAsia" w:ascii="宋体" w:hAnsi="宋体"/>
          <w:bCs w:val="0"/>
          <w:color w:val="auto"/>
          <w:kern w:val="44"/>
          <w:sz w:val="36"/>
          <w:szCs w:val="36"/>
          <w:highlight w:val="none"/>
        </w:rPr>
      </w:pPr>
      <w:r>
        <w:rPr>
          <w:rFonts w:ascii="宋体" w:hAnsi="宋体"/>
          <w:color w:val="auto"/>
          <w:highlight w:val="none"/>
        </w:rPr>
        <w:br w:type="page"/>
      </w:r>
      <w:bookmarkStart w:id="30" w:name="_Toc20193"/>
      <w:r>
        <w:rPr>
          <w:rFonts w:hint="eastAsia" w:ascii="宋体" w:hAnsi="宋体"/>
          <w:bCs w:val="0"/>
          <w:color w:val="auto"/>
          <w:kern w:val="44"/>
          <w:sz w:val="36"/>
          <w:szCs w:val="36"/>
          <w:highlight w:val="none"/>
        </w:rPr>
        <w:t>第二章 投标人须知</w:t>
      </w:r>
      <w:bookmarkEnd w:id="30"/>
    </w:p>
    <w:p w14:paraId="6C247560">
      <w:pPr>
        <w:pStyle w:val="5"/>
        <w:rPr>
          <w:color w:val="auto"/>
          <w:highlight w:val="none"/>
        </w:rPr>
      </w:pPr>
      <w:bookmarkStart w:id="31" w:name="_Toc101004081"/>
      <w:bookmarkStart w:id="32" w:name="_Toc33095529"/>
      <w:bookmarkStart w:id="33" w:name="_Toc2972"/>
      <w:r>
        <w:rPr>
          <w:rFonts w:hint="eastAsia"/>
          <w:color w:val="auto"/>
          <w:highlight w:val="none"/>
        </w:rPr>
        <w:t>投标人须知前附表</w:t>
      </w:r>
      <w:bookmarkEnd w:id="31"/>
      <w:bookmarkEnd w:id="32"/>
      <w:bookmarkEnd w:id="33"/>
    </w:p>
    <w:tbl>
      <w:tblPr>
        <w:tblStyle w:val="33"/>
        <w:tblW w:w="10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2626"/>
        <w:gridCol w:w="6050"/>
      </w:tblGrid>
      <w:tr w14:paraId="5E9D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80" w:type="dxa"/>
            <w:vAlign w:val="center"/>
          </w:tcPr>
          <w:p w14:paraId="4DB7C97A">
            <w:pPr>
              <w:pStyle w:val="19"/>
              <w:spacing w:line="276" w:lineRule="auto"/>
              <w:jc w:val="center"/>
              <w:rPr>
                <w:rFonts w:hint="eastAsia"/>
                <w:color w:val="auto"/>
                <w:sz w:val="21"/>
                <w:szCs w:val="21"/>
                <w:highlight w:val="none"/>
              </w:rPr>
            </w:pPr>
            <w:r>
              <w:rPr>
                <w:rFonts w:hint="eastAsia"/>
                <w:color w:val="auto"/>
                <w:sz w:val="21"/>
                <w:szCs w:val="21"/>
                <w:highlight w:val="none"/>
              </w:rPr>
              <w:t>条款号</w:t>
            </w:r>
          </w:p>
        </w:tc>
        <w:tc>
          <w:tcPr>
            <w:tcW w:w="2626" w:type="dxa"/>
            <w:vAlign w:val="center"/>
          </w:tcPr>
          <w:p w14:paraId="1EB932DA">
            <w:pPr>
              <w:pStyle w:val="19"/>
              <w:spacing w:line="276" w:lineRule="auto"/>
              <w:rPr>
                <w:rFonts w:hint="eastAsia"/>
                <w:color w:val="auto"/>
                <w:sz w:val="21"/>
                <w:szCs w:val="21"/>
                <w:highlight w:val="none"/>
              </w:rPr>
            </w:pPr>
            <w:r>
              <w:rPr>
                <w:rFonts w:hint="eastAsia"/>
                <w:color w:val="auto"/>
                <w:sz w:val="21"/>
                <w:szCs w:val="21"/>
                <w:highlight w:val="none"/>
              </w:rPr>
              <w:t>条 款 名 称</w:t>
            </w:r>
          </w:p>
        </w:tc>
        <w:tc>
          <w:tcPr>
            <w:tcW w:w="6050" w:type="dxa"/>
            <w:vAlign w:val="center"/>
          </w:tcPr>
          <w:p w14:paraId="41E08D64">
            <w:pPr>
              <w:pStyle w:val="19"/>
              <w:spacing w:line="276" w:lineRule="auto"/>
              <w:rPr>
                <w:rFonts w:hint="eastAsia"/>
                <w:color w:val="auto"/>
                <w:sz w:val="21"/>
                <w:szCs w:val="21"/>
                <w:highlight w:val="none"/>
              </w:rPr>
            </w:pPr>
            <w:r>
              <w:rPr>
                <w:rFonts w:hint="eastAsia"/>
                <w:color w:val="auto"/>
                <w:sz w:val="21"/>
                <w:szCs w:val="21"/>
                <w:highlight w:val="none"/>
              </w:rPr>
              <w:t>编 列 内 容</w:t>
            </w:r>
          </w:p>
        </w:tc>
      </w:tr>
      <w:tr w14:paraId="20AB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1480" w:type="dxa"/>
            <w:vMerge w:val="restart"/>
            <w:vAlign w:val="center"/>
          </w:tcPr>
          <w:p w14:paraId="4BAEE708">
            <w:pPr>
              <w:pStyle w:val="19"/>
              <w:spacing w:line="276" w:lineRule="auto"/>
              <w:jc w:val="center"/>
              <w:rPr>
                <w:rFonts w:hint="eastAsia"/>
                <w:color w:val="auto"/>
                <w:sz w:val="21"/>
                <w:szCs w:val="21"/>
                <w:highlight w:val="none"/>
              </w:rPr>
            </w:pPr>
            <w:r>
              <w:rPr>
                <w:rFonts w:hint="eastAsia"/>
                <w:color w:val="auto"/>
                <w:sz w:val="21"/>
                <w:szCs w:val="21"/>
                <w:highlight w:val="none"/>
              </w:rPr>
              <w:t>1</w:t>
            </w:r>
          </w:p>
        </w:tc>
        <w:tc>
          <w:tcPr>
            <w:tcW w:w="2626" w:type="dxa"/>
            <w:vAlign w:val="center"/>
          </w:tcPr>
          <w:p w14:paraId="0FE203BD">
            <w:pPr>
              <w:pStyle w:val="19"/>
              <w:spacing w:line="276" w:lineRule="auto"/>
              <w:rPr>
                <w:rFonts w:hint="eastAsia"/>
                <w:color w:val="auto"/>
                <w:sz w:val="21"/>
                <w:szCs w:val="21"/>
                <w:highlight w:val="none"/>
                <w:u w:val="single"/>
              </w:rPr>
            </w:pPr>
            <w:r>
              <w:rPr>
                <w:rFonts w:hint="eastAsia"/>
                <w:color w:val="auto"/>
                <w:sz w:val="21"/>
                <w:szCs w:val="21"/>
                <w:highlight w:val="none"/>
              </w:rPr>
              <w:t>采购人</w:t>
            </w:r>
          </w:p>
        </w:tc>
        <w:tc>
          <w:tcPr>
            <w:tcW w:w="6050" w:type="dxa"/>
            <w:vAlign w:val="center"/>
          </w:tcPr>
          <w:p w14:paraId="6CB6175D">
            <w:pPr>
              <w:pStyle w:val="19"/>
              <w:spacing w:line="276" w:lineRule="auto"/>
              <w:rPr>
                <w:rFonts w:hint="eastAsia" w:eastAsia="宋体"/>
                <w:color w:val="auto"/>
                <w:sz w:val="21"/>
                <w:szCs w:val="21"/>
                <w:highlight w:val="none"/>
                <w:lang w:eastAsia="zh-CN"/>
              </w:rPr>
            </w:pPr>
            <w:r>
              <w:rPr>
                <w:rFonts w:hint="eastAsia"/>
                <w:color w:val="auto"/>
                <w:sz w:val="21"/>
                <w:szCs w:val="21"/>
                <w:highlight w:val="none"/>
                <w:lang w:eastAsia="zh-CN"/>
              </w:rPr>
              <w:t>怒江傈僳族自治州中医医院</w:t>
            </w:r>
          </w:p>
        </w:tc>
      </w:tr>
      <w:tr w14:paraId="2CAE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1480" w:type="dxa"/>
            <w:vMerge w:val="continue"/>
            <w:vAlign w:val="center"/>
          </w:tcPr>
          <w:p w14:paraId="65436AD9">
            <w:pPr>
              <w:spacing w:line="276" w:lineRule="auto"/>
              <w:jc w:val="center"/>
              <w:rPr>
                <w:rFonts w:hint="eastAsia" w:ascii="宋体" w:hAnsi="宋体"/>
                <w:color w:val="auto"/>
                <w:szCs w:val="21"/>
                <w:highlight w:val="none"/>
              </w:rPr>
            </w:pPr>
          </w:p>
        </w:tc>
        <w:tc>
          <w:tcPr>
            <w:tcW w:w="2626" w:type="dxa"/>
            <w:vAlign w:val="center"/>
          </w:tcPr>
          <w:p w14:paraId="6666E58A">
            <w:pPr>
              <w:pStyle w:val="19"/>
              <w:spacing w:line="276" w:lineRule="auto"/>
              <w:rPr>
                <w:rFonts w:hint="eastAsia"/>
                <w:color w:val="auto"/>
                <w:sz w:val="21"/>
                <w:szCs w:val="21"/>
                <w:highlight w:val="none"/>
              </w:rPr>
            </w:pPr>
            <w:r>
              <w:rPr>
                <w:rFonts w:hint="eastAsia"/>
                <w:color w:val="auto"/>
                <w:sz w:val="21"/>
                <w:szCs w:val="21"/>
                <w:highlight w:val="none"/>
              </w:rPr>
              <w:t>采购代理机构</w:t>
            </w:r>
          </w:p>
        </w:tc>
        <w:tc>
          <w:tcPr>
            <w:tcW w:w="6050" w:type="dxa"/>
            <w:vAlign w:val="center"/>
          </w:tcPr>
          <w:p w14:paraId="1480CFC1">
            <w:pPr>
              <w:pStyle w:val="19"/>
              <w:spacing w:line="276" w:lineRule="auto"/>
              <w:rPr>
                <w:rFonts w:hint="eastAsia"/>
                <w:color w:val="auto"/>
                <w:sz w:val="21"/>
                <w:szCs w:val="21"/>
                <w:highlight w:val="none"/>
              </w:rPr>
            </w:pPr>
            <w:r>
              <w:rPr>
                <w:rFonts w:hint="eastAsia"/>
                <w:color w:val="auto"/>
                <w:sz w:val="21"/>
                <w:szCs w:val="21"/>
                <w:highlight w:val="none"/>
              </w:rPr>
              <w:t>云南招标股份有限公司</w:t>
            </w:r>
          </w:p>
        </w:tc>
      </w:tr>
      <w:tr w14:paraId="70B0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1480" w:type="dxa"/>
            <w:vMerge w:val="continue"/>
            <w:vAlign w:val="center"/>
          </w:tcPr>
          <w:p w14:paraId="49DA5C24">
            <w:pPr>
              <w:spacing w:line="276" w:lineRule="auto"/>
              <w:jc w:val="center"/>
              <w:rPr>
                <w:rFonts w:hint="eastAsia" w:ascii="宋体" w:hAnsi="宋体"/>
                <w:color w:val="auto"/>
                <w:szCs w:val="21"/>
                <w:highlight w:val="none"/>
              </w:rPr>
            </w:pPr>
          </w:p>
        </w:tc>
        <w:tc>
          <w:tcPr>
            <w:tcW w:w="2626" w:type="dxa"/>
            <w:vAlign w:val="center"/>
          </w:tcPr>
          <w:p w14:paraId="590D9E1A">
            <w:pPr>
              <w:pStyle w:val="19"/>
              <w:spacing w:line="276" w:lineRule="auto"/>
              <w:rPr>
                <w:rFonts w:hint="eastAsia"/>
                <w:color w:val="auto"/>
                <w:sz w:val="21"/>
                <w:szCs w:val="21"/>
                <w:highlight w:val="none"/>
              </w:rPr>
            </w:pPr>
            <w:r>
              <w:rPr>
                <w:rFonts w:hint="eastAsia"/>
                <w:color w:val="auto"/>
                <w:sz w:val="21"/>
                <w:szCs w:val="21"/>
                <w:highlight w:val="none"/>
              </w:rPr>
              <w:t>项目名称及项目编号</w:t>
            </w:r>
          </w:p>
        </w:tc>
        <w:tc>
          <w:tcPr>
            <w:tcW w:w="6050" w:type="dxa"/>
            <w:vAlign w:val="center"/>
          </w:tcPr>
          <w:p w14:paraId="7A774128">
            <w:pPr>
              <w:pStyle w:val="19"/>
              <w:spacing w:line="276" w:lineRule="auto"/>
              <w:rPr>
                <w:rFonts w:hint="eastAsia" w:eastAsia="宋体"/>
                <w:color w:val="auto"/>
                <w:sz w:val="21"/>
                <w:szCs w:val="21"/>
                <w:highlight w:val="none"/>
                <w:lang w:eastAsia="zh-CN"/>
              </w:rPr>
            </w:pPr>
            <w:r>
              <w:rPr>
                <w:rFonts w:hint="eastAsia"/>
                <w:color w:val="auto"/>
                <w:sz w:val="21"/>
                <w:szCs w:val="21"/>
                <w:highlight w:val="none"/>
              </w:rPr>
              <w:t>项目名称：</w:t>
            </w:r>
            <w:r>
              <w:rPr>
                <w:rFonts w:hint="eastAsia"/>
                <w:color w:val="auto"/>
                <w:sz w:val="21"/>
                <w:szCs w:val="21"/>
                <w:highlight w:val="none"/>
                <w:lang w:eastAsia="zh-CN"/>
              </w:rPr>
              <w:t>怒江州中医医院心肺康复设备采购项目</w:t>
            </w:r>
          </w:p>
          <w:p w14:paraId="4C0B8315">
            <w:pPr>
              <w:pStyle w:val="19"/>
              <w:spacing w:line="276" w:lineRule="auto"/>
              <w:rPr>
                <w:rFonts w:hint="eastAsia" w:eastAsia="宋体"/>
                <w:color w:val="auto"/>
                <w:sz w:val="21"/>
                <w:szCs w:val="21"/>
                <w:highlight w:val="none"/>
                <w:lang w:eastAsia="zh-CN"/>
              </w:rPr>
            </w:pPr>
            <w:r>
              <w:rPr>
                <w:rFonts w:hint="eastAsia"/>
                <w:color w:val="auto"/>
                <w:sz w:val="21"/>
                <w:szCs w:val="21"/>
                <w:highlight w:val="none"/>
              </w:rPr>
              <w:t>项目编号：</w:t>
            </w:r>
            <w:r>
              <w:rPr>
                <w:rFonts w:hint="eastAsia"/>
                <w:color w:val="auto"/>
                <w:sz w:val="21"/>
                <w:szCs w:val="21"/>
                <w:highlight w:val="none"/>
                <w:lang w:eastAsia="zh-CN"/>
              </w:rPr>
              <w:t>NJZC2025-G1-00360-YZGF-1037</w:t>
            </w:r>
          </w:p>
        </w:tc>
      </w:tr>
      <w:tr w14:paraId="3EA3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80" w:type="dxa"/>
            <w:vAlign w:val="center"/>
          </w:tcPr>
          <w:p w14:paraId="41B74932">
            <w:pPr>
              <w:pStyle w:val="19"/>
              <w:spacing w:line="276" w:lineRule="auto"/>
              <w:jc w:val="center"/>
              <w:rPr>
                <w:rFonts w:hint="eastAsia"/>
                <w:color w:val="auto"/>
                <w:sz w:val="21"/>
                <w:szCs w:val="21"/>
                <w:highlight w:val="none"/>
              </w:rPr>
            </w:pPr>
            <w:r>
              <w:rPr>
                <w:rFonts w:hint="eastAsia"/>
                <w:color w:val="auto"/>
                <w:sz w:val="21"/>
                <w:szCs w:val="21"/>
                <w:highlight w:val="none"/>
              </w:rPr>
              <w:t>3.1</w:t>
            </w:r>
          </w:p>
        </w:tc>
        <w:tc>
          <w:tcPr>
            <w:tcW w:w="2626" w:type="dxa"/>
            <w:vAlign w:val="center"/>
          </w:tcPr>
          <w:p w14:paraId="2F7FE77F">
            <w:pPr>
              <w:pStyle w:val="19"/>
              <w:spacing w:line="276" w:lineRule="auto"/>
              <w:rPr>
                <w:rFonts w:hint="eastAsia"/>
                <w:color w:val="auto"/>
                <w:sz w:val="21"/>
                <w:szCs w:val="21"/>
                <w:highlight w:val="none"/>
              </w:rPr>
            </w:pPr>
            <w:r>
              <w:rPr>
                <w:rFonts w:hint="eastAsia"/>
                <w:color w:val="auto"/>
                <w:sz w:val="21"/>
                <w:szCs w:val="21"/>
                <w:highlight w:val="none"/>
              </w:rPr>
              <w:t>招标范围</w:t>
            </w:r>
          </w:p>
        </w:tc>
        <w:tc>
          <w:tcPr>
            <w:tcW w:w="6050" w:type="dxa"/>
            <w:vAlign w:val="center"/>
          </w:tcPr>
          <w:p w14:paraId="58E0AEEE">
            <w:pPr>
              <w:pStyle w:val="19"/>
              <w:spacing w:line="276" w:lineRule="auto"/>
              <w:rPr>
                <w:rFonts w:hint="eastAsia"/>
                <w:color w:val="auto"/>
                <w:sz w:val="21"/>
                <w:szCs w:val="21"/>
                <w:highlight w:val="none"/>
              </w:rPr>
            </w:pPr>
            <w:r>
              <w:rPr>
                <w:rFonts w:hint="eastAsia"/>
                <w:color w:val="auto"/>
                <w:sz w:val="21"/>
                <w:szCs w:val="21"/>
                <w:highlight w:val="none"/>
                <w:lang w:eastAsia="zh-CN"/>
              </w:rPr>
              <w:t>怒江傈僳族自治州中医医院</w:t>
            </w:r>
            <w:r>
              <w:rPr>
                <w:rFonts w:hint="eastAsia"/>
                <w:color w:val="auto"/>
                <w:sz w:val="21"/>
                <w:szCs w:val="21"/>
                <w:highlight w:val="none"/>
              </w:rPr>
              <w:t>拟采购运动心肺功能测试系统（包括肺功能）1套</w:t>
            </w:r>
            <w:r>
              <w:rPr>
                <w:rFonts w:hint="eastAsia"/>
                <w:color w:val="auto"/>
                <w:sz w:val="21"/>
                <w:szCs w:val="21"/>
                <w:highlight w:val="none"/>
                <w:lang w:eastAsia="zh-CN"/>
              </w:rPr>
              <w:t>、</w:t>
            </w:r>
            <w:r>
              <w:rPr>
                <w:rFonts w:hint="eastAsia"/>
                <w:color w:val="auto"/>
                <w:sz w:val="21"/>
                <w:szCs w:val="21"/>
                <w:highlight w:val="none"/>
              </w:rPr>
              <w:t>6分钟步行试验系统（多导）1套</w:t>
            </w:r>
            <w:r>
              <w:rPr>
                <w:rFonts w:hint="eastAsia"/>
                <w:color w:val="auto"/>
                <w:sz w:val="21"/>
                <w:szCs w:val="21"/>
                <w:highlight w:val="none"/>
                <w:lang w:eastAsia="zh-CN"/>
              </w:rPr>
              <w:t>、</w:t>
            </w:r>
            <w:r>
              <w:rPr>
                <w:rFonts w:hint="eastAsia"/>
                <w:color w:val="auto"/>
                <w:sz w:val="21"/>
                <w:szCs w:val="21"/>
                <w:highlight w:val="none"/>
              </w:rPr>
              <w:t>呼气分析仪（一氧化氮分析仪）1台</w:t>
            </w:r>
            <w:r>
              <w:rPr>
                <w:rFonts w:hint="eastAsia"/>
                <w:color w:val="auto"/>
                <w:sz w:val="21"/>
                <w:szCs w:val="21"/>
                <w:highlight w:val="none"/>
                <w:lang w:eastAsia="zh-CN"/>
              </w:rPr>
              <w:t>、</w:t>
            </w:r>
            <w:r>
              <w:rPr>
                <w:rFonts w:hint="eastAsia"/>
                <w:color w:val="auto"/>
                <w:sz w:val="21"/>
                <w:szCs w:val="21"/>
                <w:highlight w:val="none"/>
              </w:rPr>
              <w:t>人体成分测试仪1台</w:t>
            </w:r>
            <w:r>
              <w:rPr>
                <w:rFonts w:hint="eastAsia"/>
                <w:color w:val="auto"/>
                <w:sz w:val="21"/>
                <w:szCs w:val="21"/>
                <w:highlight w:val="none"/>
                <w:lang w:eastAsia="zh-CN"/>
              </w:rPr>
              <w:t>、</w:t>
            </w:r>
            <w:r>
              <w:rPr>
                <w:rFonts w:hint="eastAsia"/>
                <w:color w:val="auto"/>
                <w:sz w:val="21"/>
                <w:szCs w:val="21"/>
                <w:highlight w:val="none"/>
              </w:rPr>
              <w:t>坐位功率自行车（含血压、血氧）1台</w:t>
            </w:r>
            <w:r>
              <w:rPr>
                <w:rFonts w:hint="eastAsia"/>
                <w:color w:val="auto"/>
                <w:sz w:val="21"/>
                <w:szCs w:val="21"/>
                <w:highlight w:val="none"/>
                <w:lang w:eastAsia="zh-CN"/>
              </w:rPr>
              <w:t>、</w:t>
            </w:r>
            <w:r>
              <w:rPr>
                <w:rFonts w:hint="eastAsia"/>
                <w:color w:val="auto"/>
                <w:sz w:val="21"/>
                <w:szCs w:val="21"/>
                <w:highlight w:val="none"/>
              </w:rPr>
              <w:t>斜躺式功率自行车1台</w:t>
            </w:r>
            <w:r>
              <w:rPr>
                <w:rFonts w:hint="eastAsia"/>
                <w:color w:val="auto"/>
                <w:sz w:val="21"/>
                <w:szCs w:val="21"/>
                <w:highlight w:val="none"/>
                <w:lang w:eastAsia="zh-CN"/>
              </w:rPr>
              <w:t>、</w:t>
            </w:r>
            <w:r>
              <w:rPr>
                <w:rFonts w:hint="eastAsia"/>
                <w:color w:val="auto"/>
                <w:sz w:val="21"/>
                <w:szCs w:val="21"/>
                <w:highlight w:val="none"/>
              </w:rPr>
              <w:t>坐式液压抗阻划船机1台</w:t>
            </w:r>
            <w:r>
              <w:rPr>
                <w:rFonts w:hint="eastAsia"/>
                <w:color w:val="auto"/>
                <w:sz w:val="21"/>
                <w:szCs w:val="21"/>
                <w:highlight w:val="none"/>
                <w:lang w:eastAsia="zh-CN"/>
              </w:rPr>
              <w:t>、</w:t>
            </w:r>
            <w:r>
              <w:rPr>
                <w:rFonts w:hint="eastAsia"/>
                <w:color w:val="auto"/>
                <w:sz w:val="21"/>
                <w:szCs w:val="21"/>
                <w:highlight w:val="none"/>
              </w:rPr>
              <w:t>上肢滑轮训练系统1套</w:t>
            </w:r>
            <w:r>
              <w:rPr>
                <w:rFonts w:hint="eastAsia"/>
                <w:color w:val="auto"/>
                <w:sz w:val="21"/>
                <w:szCs w:val="21"/>
                <w:highlight w:val="none"/>
                <w:lang w:eastAsia="zh-CN"/>
              </w:rPr>
              <w:t>、</w:t>
            </w:r>
            <w:r>
              <w:rPr>
                <w:rFonts w:hint="eastAsia"/>
                <w:color w:val="auto"/>
                <w:sz w:val="21"/>
                <w:szCs w:val="21"/>
                <w:highlight w:val="none"/>
              </w:rPr>
              <w:t>下肢抗阻训练器1台</w:t>
            </w:r>
            <w:r>
              <w:rPr>
                <w:rFonts w:hint="eastAsia"/>
                <w:color w:val="auto"/>
                <w:sz w:val="21"/>
                <w:szCs w:val="21"/>
                <w:highlight w:val="none"/>
                <w:lang w:eastAsia="zh-CN"/>
              </w:rPr>
              <w:t>、</w:t>
            </w:r>
            <w:r>
              <w:rPr>
                <w:rFonts w:hint="eastAsia"/>
                <w:color w:val="auto"/>
                <w:sz w:val="21"/>
                <w:szCs w:val="21"/>
                <w:highlight w:val="none"/>
              </w:rPr>
              <w:t>多功能训练长椅（带滑轮系统）1套</w:t>
            </w:r>
            <w:r>
              <w:rPr>
                <w:rFonts w:hint="eastAsia"/>
                <w:color w:val="auto"/>
                <w:sz w:val="21"/>
                <w:szCs w:val="21"/>
                <w:highlight w:val="none"/>
                <w:lang w:eastAsia="zh-CN"/>
              </w:rPr>
              <w:t>、</w:t>
            </w:r>
            <w:r>
              <w:rPr>
                <w:rFonts w:hint="eastAsia"/>
                <w:color w:val="auto"/>
                <w:sz w:val="21"/>
                <w:szCs w:val="21"/>
                <w:highlight w:val="none"/>
              </w:rPr>
              <w:t>呼吸训练器（高频振荡排痰仪)1台</w:t>
            </w:r>
            <w:r>
              <w:rPr>
                <w:rFonts w:hint="eastAsia"/>
                <w:color w:val="auto"/>
                <w:sz w:val="21"/>
                <w:szCs w:val="21"/>
                <w:highlight w:val="none"/>
                <w:lang w:eastAsia="zh-CN"/>
              </w:rPr>
              <w:t>、</w:t>
            </w:r>
            <w:r>
              <w:rPr>
                <w:rFonts w:hint="eastAsia"/>
                <w:color w:val="auto"/>
                <w:sz w:val="21"/>
                <w:szCs w:val="21"/>
                <w:highlight w:val="none"/>
              </w:rPr>
              <w:t>呼吸机训练器（阀值负荷型）5台</w:t>
            </w:r>
            <w:r>
              <w:rPr>
                <w:rFonts w:hint="eastAsia"/>
                <w:color w:val="auto"/>
                <w:sz w:val="21"/>
                <w:szCs w:val="21"/>
                <w:highlight w:val="none"/>
                <w:lang w:eastAsia="zh-CN"/>
              </w:rPr>
              <w:t>、</w:t>
            </w:r>
            <w:r>
              <w:rPr>
                <w:rFonts w:hint="eastAsia"/>
                <w:color w:val="auto"/>
                <w:sz w:val="21"/>
                <w:szCs w:val="21"/>
                <w:highlight w:val="none"/>
              </w:rPr>
              <w:t>呼吸机训练器（容量型）5台</w:t>
            </w:r>
            <w:r>
              <w:rPr>
                <w:rFonts w:hint="eastAsia"/>
                <w:color w:val="auto"/>
                <w:sz w:val="21"/>
                <w:szCs w:val="21"/>
                <w:highlight w:val="none"/>
                <w:lang w:eastAsia="zh-CN"/>
              </w:rPr>
              <w:t>、</w:t>
            </w:r>
            <w:r>
              <w:rPr>
                <w:rFonts w:hint="eastAsia"/>
                <w:color w:val="auto"/>
                <w:sz w:val="21"/>
                <w:szCs w:val="21"/>
                <w:highlight w:val="none"/>
              </w:rPr>
              <w:t>高流量湿化氧疗仪1台</w:t>
            </w:r>
            <w:r>
              <w:rPr>
                <w:rFonts w:hint="eastAsia"/>
                <w:color w:val="auto"/>
                <w:sz w:val="21"/>
                <w:szCs w:val="21"/>
                <w:highlight w:val="none"/>
                <w:lang w:eastAsia="zh-CN"/>
              </w:rPr>
              <w:t>、</w:t>
            </w:r>
            <w:r>
              <w:rPr>
                <w:rFonts w:hint="eastAsia"/>
                <w:color w:val="auto"/>
                <w:sz w:val="21"/>
                <w:szCs w:val="21"/>
                <w:highlight w:val="none"/>
              </w:rPr>
              <w:t>无创呼吸机1台</w:t>
            </w:r>
            <w:r>
              <w:rPr>
                <w:rFonts w:hint="eastAsia"/>
                <w:color w:val="auto"/>
                <w:sz w:val="21"/>
                <w:szCs w:val="21"/>
                <w:highlight w:val="none"/>
                <w:lang w:eastAsia="zh-CN"/>
              </w:rPr>
              <w:t>、</w:t>
            </w:r>
            <w:r>
              <w:rPr>
                <w:rFonts w:hint="eastAsia"/>
                <w:color w:val="auto"/>
                <w:sz w:val="21"/>
                <w:szCs w:val="21"/>
                <w:highlight w:val="none"/>
              </w:rPr>
              <w:t>除颤监护仪1台</w:t>
            </w:r>
            <w:r>
              <w:rPr>
                <w:rFonts w:hint="eastAsia"/>
                <w:color w:val="auto"/>
                <w:sz w:val="21"/>
                <w:szCs w:val="21"/>
                <w:highlight w:val="none"/>
                <w:lang w:eastAsia="zh-CN"/>
              </w:rPr>
              <w:t>、</w:t>
            </w:r>
            <w:r>
              <w:rPr>
                <w:rFonts w:hint="eastAsia"/>
                <w:color w:val="auto"/>
                <w:sz w:val="21"/>
                <w:szCs w:val="21"/>
                <w:highlight w:val="none"/>
              </w:rPr>
              <w:t>心电图机1台</w:t>
            </w:r>
            <w:r>
              <w:rPr>
                <w:rFonts w:hint="eastAsia"/>
                <w:color w:val="auto"/>
                <w:sz w:val="21"/>
                <w:szCs w:val="21"/>
                <w:highlight w:val="none"/>
                <w:lang w:eastAsia="zh-CN"/>
              </w:rPr>
              <w:t>、</w:t>
            </w:r>
            <w:r>
              <w:rPr>
                <w:rFonts w:hint="eastAsia"/>
                <w:color w:val="auto"/>
                <w:sz w:val="21"/>
                <w:szCs w:val="21"/>
                <w:highlight w:val="none"/>
              </w:rPr>
              <w:t>血氧监测仪、快速血糖监测仪1台</w:t>
            </w:r>
            <w:r>
              <w:rPr>
                <w:rFonts w:hint="eastAsia"/>
                <w:color w:val="auto"/>
                <w:sz w:val="21"/>
                <w:szCs w:val="21"/>
                <w:highlight w:val="none"/>
                <w:lang w:eastAsia="zh-CN"/>
              </w:rPr>
              <w:t>、</w:t>
            </w:r>
            <w:r>
              <w:rPr>
                <w:rFonts w:hint="eastAsia"/>
                <w:color w:val="auto"/>
                <w:sz w:val="21"/>
                <w:szCs w:val="21"/>
                <w:highlight w:val="none"/>
              </w:rPr>
              <w:t>体外反搏仪（三气囊式）1台</w:t>
            </w:r>
            <w:r>
              <w:rPr>
                <w:rFonts w:hint="eastAsia"/>
                <w:color w:val="auto"/>
                <w:sz w:val="21"/>
                <w:szCs w:val="21"/>
                <w:highlight w:val="none"/>
                <w:lang w:eastAsia="zh-CN"/>
              </w:rPr>
              <w:t>、</w:t>
            </w:r>
            <w:r>
              <w:rPr>
                <w:rFonts w:hint="eastAsia"/>
                <w:color w:val="auto"/>
                <w:sz w:val="21"/>
                <w:szCs w:val="21"/>
                <w:highlight w:val="none"/>
              </w:rPr>
              <w:t>等离子空气消毒机（移动式）2台</w:t>
            </w:r>
            <w:r>
              <w:rPr>
                <w:rFonts w:hint="eastAsia"/>
                <w:color w:val="auto"/>
                <w:sz w:val="21"/>
                <w:szCs w:val="21"/>
                <w:highlight w:val="none"/>
                <w:lang w:eastAsia="zh-CN"/>
              </w:rPr>
              <w:t>、</w:t>
            </w:r>
            <w:r>
              <w:rPr>
                <w:rFonts w:hint="eastAsia"/>
                <w:color w:val="auto"/>
                <w:sz w:val="21"/>
                <w:szCs w:val="21"/>
                <w:highlight w:val="none"/>
              </w:rPr>
              <w:t>呼吸神经肌肉刺激仪1台</w:t>
            </w:r>
            <w:r>
              <w:rPr>
                <w:rFonts w:hint="eastAsia"/>
                <w:color w:val="auto"/>
                <w:sz w:val="21"/>
                <w:szCs w:val="21"/>
                <w:highlight w:val="none"/>
                <w:lang w:eastAsia="zh-CN"/>
              </w:rPr>
              <w:t>、</w:t>
            </w:r>
            <w:r>
              <w:rPr>
                <w:rFonts w:hint="eastAsia"/>
                <w:color w:val="auto"/>
                <w:sz w:val="21"/>
                <w:szCs w:val="21"/>
                <w:highlight w:val="none"/>
              </w:rPr>
              <w:t>动态血压2台</w:t>
            </w:r>
            <w:r>
              <w:rPr>
                <w:rFonts w:hint="eastAsia"/>
                <w:color w:val="auto"/>
                <w:sz w:val="21"/>
                <w:szCs w:val="21"/>
                <w:highlight w:val="none"/>
                <w:lang w:eastAsia="zh-CN"/>
              </w:rPr>
              <w:t>、</w:t>
            </w:r>
            <w:r>
              <w:rPr>
                <w:rFonts w:hint="eastAsia"/>
                <w:color w:val="auto"/>
                <w:sz w:val="21"/>
                <w:szCs w:val="21"/>
                <w:highlight w:val="none"/>
              </w:rPr>
              <w:t>急救车1台，中标人需完成标的物的安装调试，并一次性通过验收，设备质量应满足国家及行业现行相关标准及规范。</w:t>
            </w:r>
          </w:p>
        </w:tc>
      </w:tr>
      <w:tr w14:paraId="5FC4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480" w:type="dxa"/>
            <w:vAlign w:val="center"/>
          </w:tcPr>
          <w:p w14:paraId="29E43102">
            <w:pPr>
              <w:pStyle w:val="19"/>
              <w:spacing w:line="276" w:lineRule="auto"/>
              <w:jc w:val="center"/>
              <w:rPr>
                <w:rFonts w:hint="eastAsia"/>
                <w:color w:val="auto"/>
                <w:sz w:val="21"/>
                <w:szCs w:val="21"/>
                <w:highlight w:val="none"/>
              </w:rPr>
            </w:pPr>
            <w:r>
              <w:rPr>
                <w:rFonts w:hint="eastAsia"/>
                <w:color w:val="auto"/>
                <w:sz w:val="21"/>
                <w:szCs w:val="21"/>
                <w:highlight w:val="none"/>
              </w:rPr>
              <w:t>3.2</w:t>
            </w:r>
          </w:p>
        </w:tc>
        <w:tc>
          <w:tcPr>
            <w:tcW w:w="2626" w:type="dxa"/>
            <w:vAlign w:val="center"/>
          </w:tcPr>
          <w:p w14:paraId="3238EB2D">
            <w:pPr>
              <w:pStyle w:val="19"/>
              <w:spacing w:line="276" w:lineRule="auto"/>
              <w:rPr>
                <w:rFonts w:hint="eastAsia"/>
                <w:color w:val="auto"/>
                <w:sz w:val="21"/>
                <w:szCs w:val="21"/>
                <w:highlight w:val="none"/>
              </w:rPr>
            </w:pPr>
            <w:r>
              <w:rPr>
                <w:rFonts w:hint="eastAsia"/>
                <w:color w:val="auto"/>
                <w:sz w:val="21"/>
                <w:szCs w:val="21"/>
                <w:highlight w:val="none"/>
              </w:rPr>
              <w:t>交货期、交货地点、质量标准、交货方式</w:t>
            </w:r>
          </w:p>
        </w:tc>
        <w:tc>
          <w:tcPr>
            <w:tcW w:w="6050" w:type="dxa"/>
            <w:vAlign w:val="center"/>
          </w:tcPr>
          <w:p w14:paraId="4CA2E1D5">
            <w:pPr>
              <w:pStyle w:val="19"/>
              <w:spacing w:line="276" w:lineRule="auto"/>
              <w:rPr>
                <w:rFonts w:hint="eastAsia"/>
                <w:color w:val="auto"/>
                <w:sz w:val="21"/>
                <w:szCs w:val="21"/>
                <w:highlight w:val="none"/>
              </w:rPr>
            </w:pPr>
            <w:r>
              <w:rPr>
                <w:rFonts w:hint="eastAsia"/>
                <w:color w:val="auto"/>
                <w:sz w:val="21"/>
                <w:szCs w:val="21"/>
                <w:highlight w:val="none"/>
              </w:rPr>
              <w:t>交货期：</w:t>
            </w:r>
            <w:r>
              <w:rPr>
                <w:rFonts w:hint="eastAsia"/>
                <w:color w:val="auto"/>
                <w:sz w:val="21"/>
                <w:szCs w:val="21"/>
                <w:highlight w:val="none"/>
                <w:lang w:eastAsia="zh-CN"/>
              </w:rPr>
              <w:t>合同签订后20个日历天内完成设备的安装调试及验收</w:t>
            </w:r>
            <w:r>
              <w:rPr>
                <w:rFonts w:hint="eastAsia"/>
                <w:color w:val="auto"/>
                <w:sz w:val="21"/>
                <w:szCs w:val="21"/>
                <w:highlight w:val="none"/>
              </w:rPr>
              <w:t>。</w:t>
            </w:r>
          </w:p>
          <w:p w14:paraId="1FBE82F8">
            <w:pPr>
              <w:pStyle w:val="19"/>
              <w:spacing w:line="276" w:lineRule="auto"/>
              <w:rPr>
                <w:rFonts w:hint="eastAsia"/>
                <w:color w:val="auto"/>
                <w:sz w:val="21"/>
                <w:szCs w:val="21"/>
                <w:highlight w:val="none"/>
              </w:rPr>
            </w:pPr>
            <w:r>
              <w:rPr>
                <w:rFonts w:hint="eastAsia"/>
                <w:color w:val="auto"/>
                <w:sz w:val="21"/>
                <w:szCs w:val="21"/>
                <w:highlight w:val="none"/>
              </w:rPr>
              <w:t>交货地点：</w:t>
            </w:r>
            <w:r>
              <w:rPr>
                <w:rFonts w:hint="eastAsia"/>
                <w:color w:val="auto"/>
                <w:sz w:val="21"/>
                <w:szCs w:val="21"/>
                <w:highlight w:val="none"/>
                <w:lang w:eastAsia="zh-CN"/>
              </w:rPr>
              <w:t>怒江傈僳族自治州中医医院</w:t>
            </w:r>
            <w:r>
              <w:rPr>
                <w:rFonts w:hint="eastAsia"/>
                <w:color w:val="auto"/>
                <w:sz w:val="21"/>
                <w:szCs w:val="21"/>
                <w:highlight w:val="none"/>
              </w:rPr>
              <w:t>指定地点。</w:t>
            </w:r>
          </w:p>
          <w:p w14:paraId="6AB32EB8">
            <w:pPr>
              <w:pStyle w:val="19"/>
              <w:spacing w:line="276" w:lineRule="auto"/>
              <w:rPr>
                <w:rFonts w:hint="eastAsia"/>
                <w:color w:val="auto"/>
                <w:sz w:val="21"/>
                <w:szCs w:val="21"/>
                <w:highlight w:val="none"/>
              </w:rPr>
            </w:pPr>
            <w:r>
              <w:rPr>
                <w:rFonts w:hint="eastAsia"/>
                <w:color w:val="auto"/>
                <w:sz w:val="21"/>
                <w:szCs w:val="21"/>
                <w:highlight w:val="none"/>
              </w:rPr>
              <w:t>质量标准：满足国家及行业现行相关标准及规范。</w:t>
            </w:r>
          </w:p>
          <w:p w14:paraId="771445BF">
            <w:pPr>
              <w:pStyle w:val="19"/>
              <w:spacing w:line="276" w:lineRule="auto"/>
              <w:rPr>
                <w:rFonts w:hint="eastAsia"/>
                <w:color w:val="auto"/>
                <w:sz w:val="21"/>
                <w:szCs w:val="21"/>
                <w:highlight w:val="none"/>
              </w:rPr>
            </w:pPr>
            <w:r>
              <w:rPr>
                <w:color w:val="auto"/>
                <w:sz w:val="21"/>
                <w:szCs w:val="21"/>
                <w:highlight w:val="none"/>
              </w:rPr>
              <w:t>交货方式：</w:t>
            </w:r>
            <w:r>
              <w:rPr>
                <w:rFonts w:hint="eastAsia"/>
                <w:color w:val="auto"/>
                <w:sz w:val="21"/>
                <w:szCs w:val="21"/>
                <w:highlight w:val="none"/>
              </w:rPr>
              <w:t>货物送至采购人指定地点，并完成场地改造、设备就位、组装、调试及验收。</w:t>
            </w:r>
          </w:p>
        </w:tc>
      </w:tr>
      <w:tr w14:paraId="50D6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480" w:type="dxa"/>
            <w:vAlign w:val="center"/>
          </w:tcPr>
          <w:p w14:paraId="16899042">
            <w:pPr>
              <w:pStyle w:val="19"/>
              <w:spacing w:line="276" w:lineRule="auto"/>
              <w:jc w:val="center"/>
              <w:rPr>
                <w:rFonts w:hint="eastAsia"/>
                <w:color w:val="auto"/>
                <w:sz w:val="21"/>
                <w:szCs w:val="21"/>
                <w:highlight w:val="none"/>
              </w:rPr>
            </w:pPr>
            <w:r>
              <w:rPr>
                <w:rFonts w:hint="eastAsia"/>
                <w:color w:val="auto"/>
                <w:sz w:val="21"/>
                <w:szCs w:val="21"/>
                <w:highlight w:val="none"/>
              </w:rPr>
              <w:t>★</w:t>
            </w:r>
            <w:r>
              <w:rPr>
                <w:color w:val="auto"/>
                <w:sz w:val="21"/>
                <w:szCs w:val="21"/>
                <w:highlight w:val="none"/>
              </w:rPr>
              <w:t>4.1</w:t>
            </w:r>
          </w:p>
        </w:tc>
        <w:tc>
          <w:tcPr>
            <w:tcW w:w="2626" w:type="dxa"/>
            <w:vAlign w:val="center"/>
          </w:tcPr>
          <w:p w14:paraId="366FFFA8">
            <w:pPr>
              <w:pStyle w:val="19"/>
              <w:spacing w:line="276" w:lineRule="auto"/>
              <w:rPr>
                <w:rFonts w:hint="eastAsia"/>
                <w:color w:val="auto"/>
                <w:sz w:val="21"/>
                <w:szCs w:val="21"/>
                <w:highlight w:val="none"/>
              </w:rPr>
            </w:pPr>
            <w:r>
              <w:rPr>
                <w:rFonts w:hint="eastAsia"/>
                <w:color w:val="auto"/>
                <w:sz w:val="21"/>
                <w:szCs w:val="21"/>
                <w:highlight w:val="none"/>
              </w:rPr>
              <w:t>投标人应具备《中华人民共和国政府采购法》第二十二条规定的条件</w:t>
            </w:r>
          </w:p>
        </w:tc>
        <w:tc>
          <w:tcPr>
            <w:tcW w:w="6050" w:type="dxa"/>
            <w:vAlign w:val="center"/>
          </w:tcPr>
          <w:p w14:paraId="01AF950B">
            <w:pPr>
              <w:pStyle w:val="19"/>
              <w:spacing w:line="276" w:lineRule="auto"/>
              <w:rPr>
                <w:rFonts w:hint="eastAsia"/>
                <w:color w:val="auto"/>
                <w:sz w:val="21"/>
                <w:szCs w:val="21"/>
                <w:highlight w:val="none"/>
              </w:rPr>
            </w:pPr>
            <w:r>
              <w:rPr>
                <w:rFonts w:hint="eastAsia"/>
                <w:color w:val="auto"/>
                <w:sz w:val="21"/>
                <w:szCs w:val="21"/>
                <w:highlight w:val="none"/>
              </w:rPr>
              <w:t>1.投标人在中华人民共和国境内注册能够独立承担民事责任，持有工商行政管理部门核发的营业执照的法人或其他组织或自然人，提供营业执照或其他组织证明文件或自然人身份证（扫描件）；</w:t>
            </w:r>
          </w:p>
          <w:p w14:paraId="47F585A3">
            <w:pPr>
              <w:pStyle w:val="19"/>
              <w:spacing w:line="276" w:lineRule="auto"/>
              <w:rPr>
                <w:rFonts w:hint="eastAsia"/>
                <w:color w:val="auto"/>
                <w:sz w:val="21"/>
                <w:szCs w:val="21"/>
                <w:highlight w:val="none"/>
              </w:rPr>
            </w:pPr>
            <w:r>
              <w:rPr>
                <w:rFonts w:hint="eastAsia"/>
                <w:color w:val="auto"/>
                <w:sz w:val="21"/>
                <w:szCs w:val="21"/>
                <w:highlight w:val="none"/>
              </w:rPr>
              <w:t>2.投标人具有良好的商业信誉和健全的财务会计制度，须提供财务状况报告，内容可为以下三者之一：1）202</w:t>
            </w:r>
            <w:r>
              <w:rPr>
                <w:color w:val="auto"/>
                <w:sz w:val="21"/>
                <w:szCs w:val="21"/>
                <w:highlight w:val="none"/>
              </w:rPr>
              <w:t>2</w:t>
            </w:r>
            <w:r>
              <w:rPr>
                <w:rFonts w:hint="eastAsia"/>
                <w:color w:val="auto"/>
                <w:sz w:val="21"/>
                <w:szCs w:val="21"/>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2）自投标文件提交截止时间前三个月内基本开户银行出具的资信证明（扫描件）。3）财政部门认可的政府采购专业担保机构出具的投标担保函，须同时提供专业担保机构经财政部门认可的证明文件；</w:t>
            </w:r>
          </w:p>
          <w:p w14:paraId="3114925D">
            <w:pPr>
              <w:pStyle w:val="19"/>
              <w:spacing w:line="276" w:lineRule="auto"/>
              <w:rPr>
                <w:rFonts w:hint="eastAsia"/>
                <w:color w:val="auto"/>
                <w:sz w:val="21"/>
                <w:szCs w:val="21"/>
                <w:highlight w:val="none"/>
              </w:rPr>
            </w:pPr>
            <w:r>
              <w:rPr>
                <w:rFonts w:hint="eastAsia"/>
                <w:color w:val="auto"/>
                <w:sz w:val="21"/>
                <w:szCs w:val="21"/>
                <w:highlight w:val="none"/>
              </w:rPr>
              <w:t>3.投标人须具有依法缴纳税收的良好记录，提供2024年05月（含05月）至投标截止日期前任意1个月的税务局税收通用缴款书扫描件或银行电子缴税（费）凭证扫描件或税务局出具纳税情况的相关证明（扫描件），依法免税的，应提供依法免税的相关证明文件（扫描件），成立未满6个月的提供成立以来的相关证明或相关情况说明；</w:t>
            </w:r>
          </w:p>
          <w:p w14:paraId="7D3FC396">
            <w:pPr>
              <w:pStyle w:val="19"/>
              <w:spacing w:line="276" w:lineRule="auto"/>
              <w:rPr>
                <w:rFonts w:hint="eastAsia"/>
                <w:color w:val="auto"/>
                <w:sz w:val="21"/>
                <w:szCs w:val="21"/>
                <w:highlight w:val="none"/>
              </w:rPr>
            </w:pPr>
            <w:r>
              <w:rPr>
                <w:rFonts w:hint="eastAsia"/>
                <w:color w:val="auto"/>
                <w:sz w:val="21"/>
                <w:szCs w:val="21"/>
                <w:highlight w:val="none"/>
              </w:rPr>
              <w:t>4.投标人须具有依法缴纳社会保障资金的良好记录，提供2024年05月（含05月）至投标截止日期前任意1个月的社会保险费缴款书扫描件或银行电子缴税（费）凭证扫描件或税务局出具的有效的缴款证明扫描件，依法免缴的，应提供依法免缴的相关证明文件（扫描件），成立未满6个月的提供成立以来的相关证明或相关情况说明；</w:t>
            </w:r>
          </w:p>
          <w:p w14:paraId="123F4E7A">
            <w:pPr>
              <w:pStyle w:val="19"/>
              <w:spacing w:line="276" w:lineRule="auto"/>
              <w:rPr>
                <w:rFonts w:hint="eastAsia"/>
                <w:color w:val="auto"/>
                <w:sz w:val="21"/>
                <w:szCs w:val="21"/>
                <w:highlight w:val="none"/>
              </w:rPr>
            </w:pPr>
            <w:r>
              <w:rPr>
                <w:rFonts w:hint="eastAsia"/>
                <w:color w:val="auto"/>
                <w:sz w:val="21"/>
                <w:szCs w:val="21"/>
                <w:highlight w:val="none"/>
              </w:rPr>
              <w:t>5.投标人须提供具备履行合同所必需的设备和专业技术能力的证明材料（提供承诺函或证明材料）；</w:t>
            </w:r>
          </w:p>
          <w:p w14:paraId="2C48E45D">
            <w:pPr>
              <w:pStyle w:val="19"/>
              <w:spacing w:line="276" w:lineRule="auto"/>
              <w:rPr>
                <w:rFonts w:hint="eastAsia"/>
                <w:color w:val="auto"/>
                <w:sz w:val="21"/>
                <w:szCs w:val="21"/>
                <w:highlight w:val="none"/>
              </w:rPr>
            </w:pPr>
            <w:r>
              <w:rPr>
                <w:rFonts w:hint="eastAsia"/>
                <w:color w:val="auto"/>
                <w:sz w:val="21"/>
                <w:szCs w:val="21"/>
                <w:highlight w:val="none"/>
              </w:rPr>
              <w:t>6.投标人必须提供参加政府采购活动前3年内在经营活动中没有重大违法记录的书面声明（重大违法记录，是指供应商因违法经营受到刑事处罚或者责令停产停业、吊销许可证或者执照、较大数额罚款等行政处罚）；</w:t>
            </w:r>
          </w:p>
          <w:p w14:paraId="21B250E6">
            <w:pPr>
              <w:pStyle w:val="19"/>
              <w:spacing w:line="276" w:lineRule="auto"/>
              <w:rPr>
                <w:rFonts w:hint="eastAsia"/>
                <w:color w:val="auto"/>
                <w:sz w:val="21"/>
                <w:szCs w:val="21"/>
                <w:highlight w:val="none"/>
              </w:rPr>
            </w:pPr>
            <w:r>
              <w:rPr>
                <w:rFonts w:hint="eastAsia"/>
                <w:color w:val="auto"/>
                <w:sz w:val="21"/>
                <w:szCs w:val="21"/>
                <w:highlight w:val="none"/>
              </w:rPr>
              <w:t>7.法律、行政法规规定的其他条件；</w:t>
            </w:r>
          </w:p>
        </w:tc>
      </w:tr>
      <w:tr w14:paraId="0360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480" w:type="dxa"/>
            <w:vAlign w:val="center"/>
          </w:tcPr>
          <w:p w14:paraId="49216B5C">
            <w:pPr>
              <w:pStyle w:val="19"/>
              <w:spacing w:line="276" w:lineRule="auto"/>
              <w:jc w:val="center"/>
              <w:rPr>
                <w:rFonts w:hint="eastAsia"/>
                <w:color w:val="auto"/>
                <w:sz w:val="21"/>
                <w:szCs w:val="21"/>
                <w:highlight w:val="none"/>
              </w:rPr>
            </w:pPr>
            <w:r>
              <w:rPr>
                <w:rFonts w:hint="eastAsia"/>
                <w:color w:val="auto"/>
                <w:sz w:val="21"/>
                <w:szCs w:val="21"/>
                <w:highlight w:val="none"/>
              </w:rPr>
              <w:t>★4.2</w:t>
            </w:r>
          </w:p>
        </w:tc>
        <w:tc>
          <w:tcPr>
            <w:tcW w:w="2626" w:type="dxa"/>
            <w:vAlign w:val="center"/>
          </w:tcPr>
          <w:p w14:paraId="22207227">
            <w:pPr>
              <w:pStyle w:val="19"/>
              <w:spacing w:line="276" w:lineRule="auto"/>
              <w:rPr>
                <w:rFonts w:hint="eastAsia"/>
                <w:color w:val="auto"/>
                <w:sz w:val="21"/>
                <w:szCs w:val="21"/>
                <w:highlight w:val="none"/>
              </w:rPr>
            </w:pPr>
            <w:r>
              <w:rPr>
                <w:rFonts w:hint="eastAsia"/>
                <w:color w:val="auto"/>
                <w:sz w:val="21"/>
                <w:szCs w:val="21"/>
                <w:highlight w:val="none"/>
              </w:rPr>
              <w:t>落实政府采购政策需满足的资格要求</w:t>
            </w:r>
          </w:p>
        </w:tc>
        <w:tc>
          <w:tcPr>
            <w:tcW w:w="6050" w:type="dxa"/>
            <w:vAlign w:val="center"/>
          </w:tcPr>
          <w:p w14:paraId="51C811D1">
            <w:pPr>
              <w:autoSpaceDE w:val="0"/>
              <w:autoSpaceDN w:val="0"/>
              <w:snapToGrid w:val="0"/>
              <w:spacing w:line="276" w:lineRule="auto"/>
              <w:textAlignment w:val="bottom"/>
              <w:rPr>
                <w:rFonts w:hint="eastAsia" w:ascii="宋体" w:hAnsi="宋体"/>
                <w:color w:val="auto"/>
                <w:szCs w:val="21"/>
                <w:highlight w:val="none"/>
              </w:rPr>
            </w:pPr>
            <w:r>
              <w:rPr>
                <w:rFonts w:hint="eastAsia" w:ascii="宋体" w:hAnsi="宋体"/>
                <w:color w:val="auto"/>
                <w:szCs w:val="21"/>
                <w:highlight w:val="none"/>
              </w:rPr>
              <w:t>见第一章“招标公告”二、申请人的资格要求</w:t>
            </w:r>
          </w:p>
        </w:tc>
      </w:tr>
      <w:tr w14:paraId="1D37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480" w:type="dxa"/>
            <w:vAlign w:val="center"/>
          </w:tcPr>
          <w:p w14:paraId="22B5C351">
            <w:pPr>
              <w:pStyle w:val="19"/>
              <w:spacing w:line="276" w:lineRule="auto"/>
              <w:jc w:val="center"/>
              <w:rPr>
                <w:rFonts w:hint="eastAsia"/>
                <w:color w:val="auto"/>
                <w:sz w:val="21"/>
                <w:szCs w:val="21"/>
                <w:highlight w:val="none"/>
              </w:rPr>
            </w:pPr>
            <w:r>
              <w:rPr>
                <w:rFonts w:hint="eastAsia"/>
                <w:color w:val="auto"/>
                <w:sz w:val="21"/>
                <w:szCs w:val="21"/>
                <w:highlight w:val="none"/>
              </w:rPr>
              <w:t>★4.</w:t>
            </w:r>
            <w:r>
              <w:rPr>
                <w:color w:val="auto"/>
                <w:sz w:val="21"/>
                <w:szCs w:val="21"/>
                <w:highlight w:val="none"/>
              </w:rPr>
              <w:t>3</w:t>
            </w:r>
          </w:p>
        </w:tc>
        <w:tc>
          <w:tcPr>
            <w:tcW w:w="2626" w:type="dxa"/>
            <w:vAlign w:val="center"/>
          </w:tcPr>
          <w:p w14:paraId="3212BC10">
            <w:pPr>
              <w:pStyle w:val="19"/>
              <w:spacing w:line="276" w:lineRule="auto"/>
              <w:rPr>
                <w:rFonts w:hint="eastAsia"/>
                <w:color w:val="auto"/>
                <w:sz w:val="21"/>
                <w:szCs w:val="21"/>
                <w:highlight w:val="none"/>
              </w:rPr>
            </w:pPr>
            <w:r>
              <w:rPr>
                <w:rFonts w:hint="eastAsia"/>
                <w:color w:val="auto"/>
                <w:sz w:val="21"/>
                <w:szCs w:val="21"/>
                <w:highlight w:val="none"/>
              </w:rPr>
              <w:t>采购人根据采购项目的特殊要求规定的特定条件</w:t>
            </w:r>
          </w:p>
        </w:tc>
        <w:tc>
          <w:tcPr>
            <w:tcW w:w="6050" w:type="dxa"/>
            <w:vAlign w:val="center"/>
          </w:tcPr>
          <w:p w14:paraId="13C59026">
            <w:pPr>
              <w:autoSpaceDE w:val="0"/>
              <w:autoSpaceDN w:val="0"/>
              <w:snapToGrid w:val="0"/>
              <w:spacing w:line="276" w:lineRule="auto"/>
              <w:textAlignment w:val="bottom"/>
              <w:rPr>
                <w:rFonts w:hint="eastAsia" w:ascii="宋体" w:hAnsi="宋体"/>
                <w:color w:val="auto"/>
                <w:szCs w:val="21"/>
                <w:highlight w:val="none"/>
              </w:rPr>
            </w:pPr>
            <w:r>
              <w:rPr>
                <w:rFonts w:hint="eastAsia" w:ascii="宋体" w:hAnsi="宋体"/>
                <w:color w:val="auto"/>
                <w:szCs w:val="21"/>
                <w:highlight w:val="none"/>
              </w:rPr>
              <w:t>见第一章“招标公告”二、申请人的资格要求</w:t>
            </w:r>
          </w:p>
        </w:tc>
      </w:tr>
      <w:tr w14:paraId="0846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480" w:type="dxa"/>
            <w:vAlign w:val="center"/>
          </w:tcPr>
          <w:p w14:paraId="01234F70">
            <w:pPr>
              <w:pStyle w:val="19"/>
              <w:spacing w:line="276" w:lineRule="auto"/>
              <w:jc w:val="center"/>
              <w:rPr>
                <w:rFonts w:hint="eastAsia"/>
                <w:color w:val="auto"/>
                <w:sz w:val="21"/>
                <w:szCs w:val="21"/>
                <w:highlight w:val="none"/>
              </w:rPr>
            </w:pPr>
            <w:r>
              <w:rPr>
                <w:rFonts w:hint="eastAsia"/>
                <w:color w:val="auto"/>
                <w:sz w:val="21"/>
                <w:szCs w:val="21"/>
                <w:highlight w:val="none"/>
              </w:rPr>
              <w:t>★4.</w:t>
            </w:r>
            <w:r>
              <w:rPr>
                <w:color w:val="auto"/>
                <w:sz w:val="21"/>
                <w:szCs w:val="21"/>
                <w:highlight w:val="none"/>
              </w:rPr>
              <w:t>6</w:t>
            </w:r>
          </w:p>
        </w:tc>
        <w:tc>
          <w:tcPr>
            <w:tcW w:w="2626" w:type="dxa"/>
            <w:vAlign w:val="center"/>
          </w:tcPr>
          <w:p w14:paraId="42AB3A07">
            <w:pPr>
              <w:pStyle w:val="19"/>
              <w:spacing w:line="276" w:lineRule="auto"/>
              <w:rPr>
                <w:rFonts w:hint="eastAsia"/>
                <w:color w:val="auto"/>
                <w:sz w:val="21"/>
                <w:szCs w:val="21"/>
                <w:highlight w:val="none"/>
              </w:rPr>
            </w:pPr>
            <w:r>
              <w:rPr>
                <w:rFonts w:hint="eastAsia"/>
                <w:color w:val="auto"/>
                <w:sz w:val="21"/>
                <w:szCs w:val="21"/>
                <w:highlight w:val="none"/>
              </w:rPr>
              <w:t>是否接受联合体投标</w:t>
            </w:r>
          </w:p>
        </w:tc>
        <w:tc>
          <w:tcPr>
            <w:tcW w:w="6050" w:type="dxa"/>
            <w:vAlign w:val="center"/>
          </w:tcPr>
          <w:p w14:paraId="3DDDFD2E">
            <w:pPr>
              <w:pStyle w:val="19"/>
              <w:spacing w:line="276" w:lineRule="auto"/>
              <w:rPr>
                <w:rFonts w:hint="eastAsia"/>
                <w:color w:val="auto"/>
                <w:sz w:val="21"/>
                <w:szCs w:val="21"/>
                <w:highlight w:val="none"/>
              </w:rPr>
            </w:pPr>
            <w:r>
              <w:rPr>
                <w:rFonts w:hint="eastAsia"/>
                <w:color w:val="auto"/>
                <w:sz w:val="21"/>
                <w:szCs w:val="21"/>
                <w:highlight w:val="none"/>
              </w:rPr>
              <w:t>不接受</w:t>
            </w:r>
          </w:p>
        </w:tc>
      </w:tr>
      <w:tr w14:paraId="6A90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480" w:type="dxa"/>
            <w:vAlign w:val="center"/>
          </w:tcPr>
          <w:p w14:paraId="17ED310A">
            <w:pPr>
              <w:pStyle w:val="19"/>
              <w:spacing w:line="276" w:lineRule="auto"/>
              <w:jc w:val="center"/>
              <w:rPr>
                <w:rFonts w:hint="eastAsia"/>
                <w:color w:val="auto"/>
                <w:sz w:val="21"/>
                <w:szCs w:val="21"/>
                <w:highlight w:val="none"/>
              </w:rPr>
            </w:pPr>
            <w:r>
              <w:rPr>
                <w:color w:val="auto"/>
                <w:sz w:val="21"/>
                <w:szCs w:val="21"/>
                <w:highlight w:val="none"/>
              </w:rPr>
              <w:t>10</w:t>
            </w:r>
            <w:r>
              <w:rPr>
                <w:rFonts w:hint="eastAsia"/>
                <w:color w:val="auto"/>
                <w:sz w:val="21"/>
                <w:szCs w:val="21"/>
                <w:highlight w:val="none"/>
              </w:rPr>
              <w:t>.1</w:t>
            </w:r>
          </w:p>
        </w:tc>
        <w:tc>
          <w:tcPr>
            <w:tcW w:w="2626" w:type="dxa"/>
            <w:vAlign w:val="center"/>
          </w:tcPr>
          <w:p w14:paraId="017EFBC4">
            <w:pPr>
              <w:pStyle w:val="19"/>
              <w:spacing w:line="276" w:lineRule="auto"/>
              <w:rPr>
                <w:rFonts w:hint="eastAsia"/>
                <w:color w:val="auto"/>
                <w:sz w:val="21"/>
                <w:szCs w:val="21"/>
                <w:highlight w:val="none"/>
              </w:rPr>
            </w:pPr>
            <w:r>
              <w:rPr>
                <w:rFonts w:hint="eastAsia"/>
                <w:color w:val="auto"/>
                <w:sz w:val="21"/>
                <w:szCs w:val="21"/>
                <w:highlight w:val="none"/>
              </w:rPr>
              <w:t>招标文件澄清截止时间</w:t>
            </w:r>
          </w:p>
        </w:tc>
        <w:tc>
          <w:tcPr>
            <w:tcW w:w="6050" w:type="dxa"/>
            <w:vAlign w:val="center"/>
          </w:tcPr>
          <w:p w14:paraId="7F8D4B57">
            <w:pPr>
              <w:pStyle w:val="19"/>
              <w:spacing w:line="276" w:lineRule="auto"/>
              <w:rPr>
                <w:rFonts w:hint="eastAsia"/>
                <w:bCs/>
                <w:color w:val="auto"/>
                <w:sz w:val="21"/>
                <w:szCs w:val="21"/>
                <w:highlight w:val="none"/>
              </w:rPr>
            </w:pPr>
            <w:r>
              <w:rPr>
                <w:rFonts w:hint="eastAsia"/>
                <w:color w:val="auto"/>
                <w:sz w:val="21"/>
                <w:szCs w:val="21"/>
                <w:highlight w:val="none"/>
              </w:rPr>
              <w:t>提交投标文件截止时间十五日前</w:t>
            </w:r>
          </w:p>
        </w:tc>
      </w:tr>
      <w:tr w14:paraId="459B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2" w:hRule="atLeast"/>
          <w:jc w:val="center"/>
        </w:trPr>
        <w:tc>
          <w:tcPr>
            <w:tcW w:w="1480" w:type="dxa"/>
            <w:vAlign w:val="center"/>
          </w:tcPr>
          <w:p w14:paraId="3D87FC00">
            <w:pPr>
              <w:pStyle w:val="19"/>
              <w:spacing w:line="276" w:lineRule="auto"/>
              <w:jc w:val="center"/>
              <w:rPr>
                <w:rFonts w:hint="eastAsia"/>
                <w:color w:val="auto"/>
                <w:sz w:val="21"/>
                <w:szCs w:val="21"/>
                <w:highlight w:val="none"/>
              </w:rPr>
            </w:pPr>
            <w:r>
              <w:rPr>
                <w:color w:val="auto"/>
                <w:sz w:val="21"/>
                <w:szCs w:val="21"/>
                <w:highlight w:val="none"/>
              </w:rPr>
              <w:t>14.1</w:t>
            </w:r>
          </w:p>
        </w:tc>
        <w:tc>
          <w:tcPr>
            <w:tcW w:w="2626" w:type="dxa"/>
            <w:vAlign w:val="center"/>
          </w:tcPr>
          <w:p w14:paraId="24DB6A1D">
            <w:pPr>
              <w:pStyle w:val="19"/>
              <w:spacing w:line="276" w:lineRule="auto"/>
              <w:rPr>
                <w:rFonts w:hint="eastAsia"/>
                <w:color w:val="auto"/>
                <w:sz w:val="21"/>
                <w:szCs w:val="21"/>
                <w:highlight w:val="none"/>
              </w:rPr>
            </w:pPr>
            <w:r>
              <w:rPr>
                <w:color w:val="auto"/>
                <w:sz w:val="21"/>
                <w:szCs w:val="21"/>
                <w:highlight w:val="none"/>
              </w:rPr>
              <w:t>构成投标文件的其他资料</w:t>
            </w:r>
          </w:p>
        </w:tc>
        <w:tc>
          <w:tcPr>
            <w:tcW w:w="6050" w:type="dxa"/>
            <w:vAlign w:val="center"/>
          </w:tcPr>
          <w:p w14:paraId="10829369">
            <w:pPr>
              <w:pStyle w:val="19"/>
              <w:spacing w:line="276" w:lineRule="auto"/>
              <w:rPr>
                <w:rFonts w:hint="eastAsia"/>
                <w:color w:val="auto"/>
                <w:sz w:val="21"/>
                <w:szCs w:val="21"/>
                <w:highlight w:val="none"/>
              </w:rPr>
            </w:pPr>
            <w:r>
              <w:rPr>
                <w:rFonts w:hint="eastAsia"/>
                <w:color w:val="auto"/>
                <w:sz w:val="21"/>
                <w:szCs w:val="21"/>
                <w:highlight w:val="none"/>
              </w:rPr>
              <w:t>1、售后服务机构技术力量说明</w:t>
            </w:r>
            <w:r>
              <w:rPr>
                <w:color w:val="auto"/>
                <w:sz w:val="21"/>
                <w:szCs w:val="21"/>
                <w:highlight w:val="none"/>
              </w:rPr>
              <w:t>；</w:t>
            </w:r>
          </w:p>
          <w:p w14:paraId="7C5DD172">
            <w:pPr>
              <w:pStyle w:val="19"/>
              <w:spacing w:line="276" w:lineRule="auto"/>
              <w:rPr>
                <w:rFonts w:hint="eastAsia"/>
                <w:color w:val="auto"/>
                <w:sz w:val="21"/>
                <w:szCs w:val="21"/>
                <w:highlight w:val="none"/>
              </w:rPr>
            </w:pPr>
            <w:r>
              <w:rPr>
                <w:color w:val="auto"/>
                <w:sz w:val="21"/>
                <w:szCs w:val="21"/>
                <w:highlight w:val="none"/>
              </w:rPr>
              <w:t>2</w:t>
            </w:r>
            <w:r>
              <w:rPr>
                <w:rFonts w:hint="eastAsia"/>
                <w:color w:val="auto"/>
                <w:sz w:val="21"/>
                <w:szCs w:val="21"/>
                <w:highlight w:val="none"/>
              </w:rPr>
              <w:t>、第五章“项目需求及技术要求”中要求提供的其他资料；</w:t>
            </w:r>
          </w:p>
          <w:p w14:paraId="36390C5C">
            <w:pPr>
              <w:pStyle w:val="19"/>
              <w:spacing w:line="276" w:lineRule="auto"/>
              <w:rPr>
                <w:rFonts w:hint="eastAsia"/>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、招标文件中所涉及到的相关资料及证明文件或投标人认为必须提供的其他相关资料。</w:t>
            </w:r>
          </w:p>
        </w:tc>
      </w:tr>
      <w:tr w14:paraId="1E02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1480" w:type="dxa"/>
            <w:vAlign w:val="center"/>
          </w:tcPr>
          <w:p w14:paraId="092CE697">
            <w:pPr>
              <w:pStyle w:val="19"/>
              <w:spacing w:line="276" w:lineRule="auto"/>
              <w:jc w:val="center"/>
              <w:rPr>
                <w:rFonts w:hint="eastAsia"/>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.1</w:t>
            </w:r>
          </w:p>
        </w:tc>
        <w:tc>
          <w:tcPr>
            <w:tcW w:w="2626" w:type="dxa"/>
            <w:vAlign w:val="center"/>
          </w:tcPr>
          <w:p w14:paraId="1A96DCF0">
            <w:pPr>
              <w:pStyle w:val="19"/>
              <w:spacing w:line="276" w:lineRule="auto"/>
              <w:rPr>
                <w:rFonts w:hint="eastAsia"/>
                <w:color w:val="auto"/>
                <w:sz w:val="21"/>
                <w:szCs w:val="21"/>
                <w:highlight w:val="none"/>
              </w:rPr>
            </w:pPr>
            <w:r>
              <w:rPr>
                <w:rFonts w:hint="eastAsia"/>
                <w:color w:val="auto"/>
                <w:sz w:val="21"/>
                <w:szCs w:val="21"/>
                <w:highlight w:val="none"/>
              </w:rPr>
              <w:t>本项目预算金额及最高限价</w:t>
            </w:r>
          </w:p>
        </w:tc>
        <w:tc>
          <w:tcPr>
            <w:tcW w:w="6050" w:type="dxa"/>
            <w:vAlign w:val="center"/>
          </w:tcPr>
          <w:p w14:paraId="28A6B1DD">
            <w:pPr>
              <w:autoSpaceDE w:val="0"/>
              <w:autoSpaceDN w:val="0"/>
              <w:snapToGrid w:val="0"/>
              <w:spacing w:line="276" w:lineRule="auto"/>
              <w:textAlignment w:val="bottom"/>
              <w:rPr>
                <w:rFonts w:hint="eastAsia" w:ascii="宋体" w:hAnsi="宋体"/>
                <w:bCs/>
                <w:color w:val="auto"/>
                <w:szCs w:val="21"/>
                <w:highlight w:val="none"/>
              </w:rPr>
            </w:pPr>
            <w:r>
              <w:rPr>
                <w:rFonts w:hint="eastAsia" w:ascii="宋体" w:hAnsi="宋体"/>
                <w:color w:val="auto"/>
                <w:szCs w:val="21"/>
                <w:highlight w:val="none"/>
              </w:rPr>
              <w:t>见第一章“招标公告”。</w:t>
            </w:r>
          </w:p>
        </w:tc>
      </w:tr>
      <w:tr w14:paraId="10C7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480" w:type="dxa"/>
            <w:vAlign w:val="center"/>
          </w:tcPr>
          <w:p w14:paraId="568A80A9">
            <w:pPr>
              <w:pStyle w:val="19"/>
              <w:spacing w:line="276" w:lineRule="auto"/>
              <w:jc w:val="center"/>
              <w:rPr>
                <w:rFonts w:hint="eastAsia"/>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.5</w:t>
            </w:r>
          </w:p>
        </w:tc>
        <w:tc>
          <w:tcPr>
            <w:tcW w:w="2626" w:type="dxa"/>
            <w:vAlign w:val="center"/>
          </w:tcPr>
          <w:p w14:paraId="1A76B687">
            <w:pPr>
              <w:pStyle w:val="19"/>
              <w:spacing w:line="276" w:lineRule="auto"/>
              <w:rPr>
                <w:rFonts w:hint="eastAsia"/>
                <w:color w:val="auto"/>
                <w:sz w:val="21"/>
                <w:szCs w:val="21"/>
                <w:highlight w:val="none"/>
              </w:rPr>
            </w:pPr>
            <w:r>
              <w:rPr>
                <w:rFonts w:hint="eastAsia"/>
                <w:color w:val="auto"/>
                <w:sz w:val="21"/>
                <w:szCs w:val="21"/>
                <w:highlight w:val="none"/>
              </w:rPr>
              <w:t>备品备件</w:t>
            </w:r>
          </w:p>
        </w:tc>
        <w:tc>
          <w:tcPr>
            <w:tcW w:w="6050" w:type="dxa"/>
            <w:vAlign w:val="center"/>
          </w:tcPr>
          <w:p w14:paraId="5745186E">
            <w:pPr>
              <w:spacing w:line="276" w:lineRule="auto"/>
              <w:jc w:val="left"/>
              <w:rPr>
                <w:rFonts w:hint="eastAsia" w:ascii="宋体" w:hAnsi="宋体"/>
                <w:color w:val="auto"/>
                <w:szCs w:val="21"/>
                <w:highlight w:val="none"/>
              </w:rPr>
            </w:pPr>
            <w:r>
              <w:rPr>
                <w:rFonts w:ascii="宋体" w:hAnsi="宋体"/>
                <w:color w:val="auto"/>
                <w:szCs w:val="21"/>
                <w:highlight w:val="none"/>
              </w:rPr>
              <w:t>本次招标（</w:t>
            </w:r>
            <w:r>
              <w:rPr>
                <w:rFonts w:hint="eastAsia" w:ascii="宋体" w:hAnsi="宋体"/>
                <w:color w:val="auto"/>
                <w:szCs w:val="21"/>
                <w:highlight w:val="none"/>
              </w:rPr>
              <w:t>■</w:t>
            </w:r>
            <w:r>
              <w:rPr>
                <w:rFonts w:ascii="宋体" w:hAnsi="宋体"/>
                <w:color w:val="auto"/>
                <w:szCs w:val="21"/>
                <w:highlight w:val="none"/>
              </w:rPr>
              <w:t>要求</w:t>
            </w:r>
            <w:r>
              <w:rPr>
                <w:rFonts w:hint="eastAsia" w:ascii="宋体" w:hAnsi="宋体"/>
                <w:color w:val="auto"/>
                <w:szCs w:val="21"/>
                <w:highlight w:val="none"/>
              </w:rPr>
              <w:t xml:space="preserve"> </w:t>
            </w:r>
            <w:r>
              <w:rPr>
                <w:rFonts w:ascii="宋体" w:hAnsi="宋体"/>
                <w:color w:val="auto"/>
                <w:szCs w:val="21"/>
                <w:highlight w:val="none"/>
              </w:rPr>
              <w:t>□不要求）提供所需的备品备件。</w:t>
            </w:r>
            <w:r>
              <w:rPr>
                <w:rFonts w:hint="eastAsia" w:ascii="宋体" w:hAnsi="宋体"/>
                <w:color w:val="auto"/>
                <w:szCs w:val="21"/>
                <w:highlight w:val="none"/>
              </w:rPr>
              <w:t>设备验收开始使用后至质保期内正常、连续地使用所必须的备品备件均须填报，费用计入投标报价中，若因投标人未全部填报，而在项目执行过程又使用到的备品备件，须由投标人提供，由此产生的费用由中标人自行承担。</w:t>
            </w:r>
          </w:p>
        </w:tc>
      </w:tr>
      <w:tr w14:paraId="1C63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480" w:type="dxa"/>
            <w:vAlign w:val="center"/>
          </w:tcPr>
          <w:p w14:paraId="434056EA">
            <w:pPr>
              <w:pStyle w:val="19"/>
              <w:spacing w:line="276" w:lineRule="auto"/>
              <w:jc w:val="center"/>
              <w:rPr>
                <w:rFonts w:hint="eastAsia"/>
                <w:color w:val="auto"/>
                <w:sz w:val="21"/>
                <w:szCs w:val="21"/>
                <w:highlight w:val="none"/>
              </w:rPr>
            </w:pPr>
            <w:r>
              <w:rPr>
                <w:rFonts w:hint="eastAsia"/>
                <w:color w:val="auto"/>
                <w:sz w:val="21"/>
                <w:szCs w:val="21"/>
                <w:highlight w:val="none"/>
              </w:rPr>
              <w:t>★17.1</w:t>
            </w:r>
          </w:p>
        </w:tc>
        <w:tc>
          <w:tcPr>
            <w:tcW w:w="2626" w:type="dxa"/>
            <w:vAlign w:val="center"/>
          </w:tcPr>
          <w:p w14:paraId="16533271">
            <w:pPr>
              <w:pStyle w:val="19"/>
              <w:spacing w:line="276" w:lineRule="auto"/>
              <w:rPr>
                <w:rFonts w:hint="eastAsia"/>
                <w:color w:val="auto"/>
                <w:sz w:val="21"/>
                <w:szCs w:val="21"/>
                <w:highlight w:val="none"/>
              </w:rPr>
            </w:pPr>
            <w:r>
              <w:rPr>
                <w:rFonts w:hint="eastAsia"/>
                <w:color w:val="auto"/>
                <w:sz w:val="21"/>
                <w:szCs w:val="21"/>
                <w:highlight w:val="none"/>
              </w:rPr>
              <w:t>投标文件有效期</w:t>
            </w:r>
          </w:p>
        </w:tc>
        <w:tc>
          <w:tcPr>
            <w:tcW w:w="6050" w:type="dxa"/>
            <w:vAlign w:val="center"/>
          </w:tcPr>
          <w:p w14:paraId="10C2CDF4">
            <w:pPr>
              <w:pStyle w:val="19"/>
              <w:spacing w:line="276" w:lineRule="auto"/>
              <w:rPr>
                <w:rFonts w:hint="eastAsia"/>
                <w:color w:val="auto"/>
                <w:sz w:val="21"/>
                <w:szCs w:val="21"/>
                <w:highlight w:val="none"/>
              </w:rPr>
            </w:pPr>
            <w:r>
              <w:rPr>
                <w:rFonts w:hint="eastAsia"/>
                <w:color w:val="auto"/>
                <w:sz w:val="21"/>
                <w:szCs w:val="21"/>
                <w:highlight w:val="none"/>
              </w:rPr>
              <w:t>从提交投标文件截止之日起</w:t>
            </w:r>
            <w:r>
              <w:rPr>
                <w:rFonts w:hint="eastAsia"/>
                <w:color w:val="auto"/>
                <w:sz w:val="21"/>
                <w:szCs w:val="21"/>
                <w:highlight w:val="none"/>
                <w:u w:val="single"/>
              </w:rPr>
              <w:t>90</w:t>
            </w:r>
            <w:r>
              <w:rPr>
                <w:rFonts w:hint="eastAsia"/>
                <w:color w:val="auto"/>
                <w:sz w:val="21"/>
                <w:szCs w:val="21"/>
                <w:highlight w:val="none"/>
              </w:rPr>
              <w:t>日历天。</w:t>
            </w:r>
          </w:p>
        </w:tc>
      </w:tr>
      <w:tr w14:paraId="0DB9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480" w:type="dxa"/>
            <w:vAlign w:val="center"/>
          </w:tcPr>
          <w:p w14:paraId="3AB9A9CB">
            <w:pPr>
              <w:pStyle w:val="19"/>
              <w:spacing w:line="276" w:lineRule="auto"/>
              <w:jc w:val="center"/>
              <w:rPr>
                <w:rFonts w:hint="eastAsia"/>
                <w:color w:val="auto"/>
                <w:sz w:val="21"/>
                <w:szCs w:val="21"/>
                <w:highlight w:val="none"/>
              </w:rPr>
            </w:pPr>
            <w:r>
              <w:rPr>
                <w:rFonts w:hint="eastAsia"/>
                <w:color w:val="auto"/>
                <w:sz w:val="21"/>
                <w:szCs w:val="21"/>
                <w:highlight w:val="none"/>
              </w:rPr>
              <w:t>18.1</w:t>
            </w:r>
          </w:p>
        </w:tc>
        <w:tc>
          <w:tcPr>
            <w:tcW w:w="2626" w:type="dxa"/>
            <w:vAlign w:val="center"/>
          </w:tcPr>
          <w:p w14:paraId="7FB3A616">
            <w:pPr>
              <w:pStyle w:val="19"/>
              <w:spacing w:line="276" w:lineRule="auto"/>
              <w:rPr>
                <w:rFonts w:hint="eastAsia"/>
                <w:color w:val="auto"/>
                <w:sz w:val="21"/>
                <w:szCs w:val="21"/>
                <w:highlight w:val="none"/>
              </w:rPr>
            </w:pPr>
            <w:r>
              <w:rPr>
                <w:rFonts w:hint="eastAsia"/>
                <w:color w:val="auto"/>
                <w:sz w:val="21"/>
                <w:szCs w:val="21"/>
                <w:highlight w:val="none"/>
              </w:rPr>
              <w:t>分包</w:t>
            </w:r>
          </w:p>
        </w:tc>
        <w:tc>
          <w:tcPr>
            <w:tcW w:w="6050" w:type="dxa"/>
            <w:vAlign w:val="center"/>
          </w:tcPr>
          <w:p w14:paraId="29F795ED">
            <w:pPr>
              <w:pStyle w:val="19"/>
              <w:spacing w:line="276" w:lineRule="auto"/>
              <w:rPr>
                <w:rFonts w:hint="eastAsia"/>
                <w:color w:val="auto"/>
                <w:sz w:val="21"/>
                <w:szCs w:val="21"/>
                <w:highlight w:val="none"/>
              </w:rPr>
            </w:pPr>
            <w:r>
              <w:rPr>
                <w:rFonts w:hint="eastAsia"/>
                <w:color w:val="auto"/>
                <w:sz w:val="21"/>
                <w:szCs w:val="21"/>
                <w:highlight w:val="none"/>
              </w:rPr>
              <w:t>■本项目不得分包。</w:t>
            </w:r>
          </w:p>
          <w:p w14:paraId="1A3F695C">
            <w:pPr>
              <w:pStyle w:val="19"/>
              <w:spacing w:line="276" w:lineRule="auto"/>
              <w:rPr>
                <w:rFonts w:hint="eastAsia"/>
                <w:color w:val="auto"/>
                <w:sz w:val="21"/>
                <w:szCs w:val="21"/>
                <w:highlight w:val="none"/>
              </w:rPr>
            </w:pPr>
            <w:r>
              <w:rPr>
                <w:color w:val="auto"/>
                <w:sz w:val="21"/>
                <w:szCs w:val="21"/>
                <w:highlight w:val="none"/>
              </w:rPr>
              <w:t>□本项目中</w:t>
            </w:r>
            <w:r>
              <w:rPr>
                <w:rFonts w:hint="eastAsia"/>
                <w:color w:val="auto"/>
                <w:sz w:val="21"/>
                <w:szCs w:val="21"/>
                <w:highlight w:val="none"/>
              </w:rPr>
              <w:t>，可以分包。</w:t>
            </w:r>
          </w:p>
        </w:tc>
      </w:tr>
      <w:tr w14:paraId="0F71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480" w:type="dxa"/>
            <w:vAlign w:val="center"/>
          </w:tcPr>
          <w:p w14:paraId="283F46CD">
            <w:pPr>
              <w:pStyle w:val="19"/>
              <w:spacing w:line="276" w:lineRule="auto"/>
              <w:jc w:val="center"/>
              <w:rPr>
                <w:rFonts w:hint="eastAsia"/>
                <w:color w:val="auto"/>
                <w:sz w:val="21"/>
                <w:szCs w:val="21"/>
                <w:highlight w:val="none"/>
              </w:rPr>
            </w:pPr>
            <w:r>
              <w:rPr>
                <w:rFonts w:hint="eastAsia"/>
                <w:color w:val="auto"/>
                <w:sz w:val="21"/>
                <w:szCs w:val="21"/>
                <w:highlight w:val="none"/>
              </w:rPr>
              <w:t>20</w:t>
            </w:r>
            <w:r>
              <w:rPr>
                <w:color w:val="auto"/>
                <w:sz w:val="21"/>
                <w:szCs w:val="21"/>
                <w:highlight w:val="none"/>
              </w:rPr>
              <w:t>.1</w:t>
            </w:r>
          </w:p>
        </w:tc>
        <w:tc>
          <w:tcPr>
            <w:tcW w:w="2626" w:type="dxa"/>
            <w:vAlign w:val="center"/>
          </w:tcPr>
          <w:p w14:paraId="1E8BFBE5">
            <w:pPr>
              <w:pStyle w:val="19"/>
              <w:spacing w:line="276" w:lineRule="auto"/>
              <w:rPr>
                <w:rFonts w:hint="eastAsia"/>
                <w:color w:val="auto"/>
                <w:sz w:val="21"/>
                <w:szCs w:val="21"/>
                <w:highlight w:val="none"/>
              </w:rPr>
            </w:pPr>
            <w:r>
              <w:rPr>
                <w:rFonts w:hint="eastAsia"/>
                <w:color w:val="auto"/>
                <w:sz w:val="21"/>
                <w:szCs w:val="21"/>
                <w:highlight w:val="none"/>
              </w:rPr>
              <w:t>投标文件的编制</w:t>
            </w:r>
          </w:p>
        </w:tc>
        <w:tc>
          <w:tcPr>
            <w:tcW w:w="6050" w:type="dxa"/>
            <w:vAlign w:val="center"/>
          </w:tcPr>
          <w:p w14:paraId="7B4B365C">
            <w:pPr>
              <w:pStyle w:val="19"/>
              <w:spacing w:line="276" w:lineRule="auto"/>
              <w:rPr>
                <w:rFonts w:hint="eastAsia"/>
                <w:color w:val="auto"/>
                <w:sz w:val="21"/>
                <w:szCs w:val="21"/>
                <w:highlight w:val="none"/>
              </w:rPr>
            </w:pPr>
            <w:r>
              <w:rPr>
                <w:rFonts w:hint="eastAsia"/>
                <w:color w:val="auto"/>
                <w:sz w:val="21"/>
                <w:szCs w:val="21"/>
                <w:highlight w:val="none"/>
              </w:rPr>
              <w:t>投标文件全部采用电子文档，供应商应安装客户端软件—“政采云电子交易客户端”，并按照招标文件和政采云电子交易平台的要求编制，编制后应进行电子签名及加密。</w:t>
            </w:r>
          </w:p>
        </w:tc>
      </w:tr>
      <w:tr w14:paraId="278F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1480" w:type="dxa"/>
            <w:vAlign w:val="center"/>
          </w:tcPr>
          <w:p w14:paraId="0E81415A">
            <w:pPr>
              <w:pStyle w:val="19"/>
              <w:spacing w:line="276" w:lineRule="auto"/>
              <w:jc w:val="center"/>
              <w:rPr>
                <w:rFonts w:hint="eastAsia"/>
                <w:color w:val="auto"/>
                <w:sz w:val="21"/>
                <w:szCs w:val="21"/>
                <w:highlight w:val="none"/>
              </w:rPr>
            </w:pPr>
            <w:r>
              <w:rPr>
                <w:rFonts w:hint="eastAsia"/>
                <w:color w:val="auto"/>
                <w:sz w:val="21"/>
                <w:szCs w:val="21"/>
                <w:highlight w:val="none"/>
              </w:rPr>
              <w:t>★</w:t>
            </w:r>
            <w:r>
              <w:rPr>
                <w:color w:val="auto"/>
                <w:sz w:val="21"/>
                <w:szCs w:val="21"/>
                <w:highlight w:val="none"/>
              </w:rPr>
              <w:t>21</w:t>
            </w:r>
            <w:r>
              <w:rPr>
                <w:rFonts w:hint="eastAsia"/>
                <w:color w:val="auto"/>
                <w:sz w:val="21"/>
                <w:szCs w:val="21"/>
                <w:highlight w:val="none"/>
              </w:rPr>
              <w:t>.1</w:t>
            </w:r>
          </w:p>
        </w:tc>
        <w:tc>
          <w:tcPr>
            <w:tcW w:w="2626" w:type="dxa"/>
            <w:vAlign w:val="center"/>
          </w:tcPr>
          <w:p w14:paraId="0FB4DCFC">
            <w:pPr>
              <w:pStyle w:val="19"/>
              <w:spacing w:line="276" w:lineRule="auto"/>
              <w:rPr>
                <w:rFonts w:hint="eastAsia"/>
                <w:color w:val="auto"/>
                <w:sz w:val="21"/>
                <w:szCs w:val="21"/>
                <w:highlight w:val="none"/>
              </w:rPr>
            </w:pPr>
            <w:r>
              <w:rPr>
                <w:rFonts w:hint="eastAsia"/>
                <w:color w:val="auto"/>
                <w:sz w:val="21"/>
                <w:szCs w:val="21"/>
                <w:highlight w:val="none"/>
              </w:rPr>
              <w:t>投标保证金</w:t>
            </w:r>
          </w:p>
        </w:tc>
        <w:tc>
          <w:tcPr>
            <w:tcW w:w="6050" w:type="dxa"/>
            <w:vAlign w:val="center"/>
          </w:tcPr>
          <w:p w14:paraId="288E675F">
            <w:pPr>
              <w:spacing w:line="276" w:lineRule="auto"/>
              <w:rPr>
                <w:rFonts w:hint="eastAsia" w:ascii="宋体" w:hAnsi="宋体"/>
                <w:color w:val="auto"/>
                <w:szCs w:val="21"/>
                <w:highlight w:val="none"/>
              </w:rPr>
            </w:pPr>
            <w:r>
              <w:rPr>
                <w:rFonts w:hint="eastAsia" w:ascii="宋体" w:hAnsi="宋体"/>
                <w:color w:val="auto"/>
                <w:szCs w:val="21"/>
                <w:highlight w:val="none"/>
              </w:rPr>
              <w:t>缴纳方式：支票、汇票、本票、保函、保证保险、电汇、网银、转账等非现金方式；</w:t>
            </w:r>
          </w:p>
          <w:p w14:paraId="7A206759">
            <w:pPr>
              <w:spacing w:line="276" w:lineRule="auto"/>
              <w:rPr>
                <w:rFonts w:hint="eastAsia" w:ascii="宋体" w:hAnsi="宋体"/>
                <w:color w:val="auto"/>
                <w:szCs w:val="21"/>
                <w:highlight w:val="none"/>
              </w:rPr>
            </w:pPr>
            <w:r>
              <w:rPr>
                <w:rFonts w:hint="eastAsia" w:ascii="宋体" w:hAnsi="宋体"/>
                <w:color w:val="auto"/>
                <w:szCs w:val="21"/>
                <w:highlight w:val="none"/>
              </w:rPr>
              <w:t>保证金金额：¥</w:t>
            </w:r>
            <w:r>
              <w:rPr>
                <w:rFonts w:hint="eastAsia" w:ascii="宋体" w:hAnsi="宋体"/>
                <w:color w:val="auto"/>
                <w:szCs w:val="21"/>
                <w:highlight w:val="none"/>
                <w:lang w:val="en-US" w:eastAsia="zh-CN"/>
              </w:rPr>
              <w:t>8</w:t>
            </w:r>
            <w:r>
              <w:rPr>
                <w:rFonts w:ascii="宋体" w:hAnsi="宋体"/>
                <w:color w:val="auto"/>
                <w:szCs w:val="21"/>
                <w:highlight w:val="none"/>
              </w:rPr>
              <w:t>0</w:t>
            </w:r>
            <w:r>
              <w:rPr>
                <w:rFonts w:hint="eastAsia" w:ascii="宋体" w:hAnsi="宋体"/>
                <w:color w:val="auto"/>
                <w:szCs w:val="21"/>
                <w:highlight w:val="none"/>
              </w:rPr>
              <w:t>00.00元（人民币</w:t>
            </w:r>
            <w:r>
              <w:rPr>
                <w:rFonts w:hint="eastAsia" w:ascii="宋体" w:hAnsi="宋体"/>
                <w:color w:val="auto"/>
                <w:szCs w:val="21"/>
                <w:highlight w:val="none"/>
                <w:lang w:val="en-US" w:eastAsia="zh-CN"/>
              </w:rPr>
              <w:t>捌仟</w:t>
            </w:r>
            <w:r>
              <w:rPr>
                <w:rFonts w:hint="eastAsia" w:ascii="宋体" w:hAnsi="宋体"/>
                <w:color w:val="auto"/>
                <w:szCs w:val="21"/>
                <w:highlight w:val="none"/>
              </w:rPr>
              <w:t>元整）</w:t>
            </w:r>
          </w:p>
          <w:p w14:paraId="4829B83E">
            <w:pPr>
              <w:spacing w:line="276" w:lineRule="auto"/>
              <w:rPr>
                <w:rFonts w:hint="eastAsia" w:ascii="宋体" w:hAnsi="宋体"/>
                <w:color w:val="auto"/>
                <w:szCs w:val="21"/>
                <w:highlight w:val="none"/>
              </w:rPr>
            </w:pPr>
            <w:r>
              <w:rPr>
                <w:rFonts w:hint="eastAsia" w:ascii="宋体" w:hAnsi="宋体"/>
                <w:color w:val="auto"/>
                <w:szCs w:val="21"/>
                <w:highlight w:val="none"/>
              </w:rPr>
              <w:t>缴纳时间：到账截止时间为投标文件（响应文件）递交截止时间，到账时间以项目专项账户实际到账时间为准，未按时到账的保证金视为未提交。</w:t>
            </w:r>
          </w:p>
          <w:p w14:paraId="038E068F">
            <w:pPr>
              <w:spacing w:line="276" w:lineRule="auto"/>
              <w:rPr>
                <w:rFonts w:hint="eastAsia" w:ascii="宋体" w:hAnsi="宋体"/>
                <w:color w:val="auto"/>
                <w:szCs w:val="21"/>
                <w:highlight w:val="none"/>
              </w:rPr>
            </w:pPr>
            <w:r>
              <w:rPr>
                <w:rFonts w:hint="eastAsia" w:ascii="宋体" w:hAnsi="宋体"/>
                <w:color w:val="auto"/>
                <w:szCs w:val="21"/>
                <w:highlight w:val="none"/>
              </w:rPr>
              <w:t>开户名称：云南招标股份有限公司</w:t>
            </w:r>
          </w:p>
          <w:p w14:paraId="7A9E3BDE">
            <w:pPr>
              <w:spacing w:line="276" w:lineRule="auto"/>
              <w:rPr>
                <w:rFonts w:hint="eastAsia" w:ascii="宋体" w:hAnsi="宋体"/>
                <w:color w:val="auto"/>
                <w:szCs w:val="21"/>
                <w:highlight w:val="none"/>
              </w:rPr>
            </w:pPr>
            <w:r>
              <w:rPr>
                <w:rFonts w:hint="eastAsia" w:ascii="宋体" w:hAnsi="宋体"/>
                <w:color w:val="auto"/>
                <w:szCs w:val="21"/>
                <w:highlight w:val="none"/>
              </w:rPr>
              <w:t>开户银行：富滇银行股份有限公司昆明科技支行；</w:t>
            </w:r>
          </w:p>
          <w:p w14:paraId="236B9C07">
            <w:pPr>
              <w:spacing w:line="276" w:lineRule="auto"/>
              <w:rPr>
                <w:rFonts w:hint="eastAsia" w:ascii="宋体" w:hAnsi="宋体"/>
                <w:color w:val="auto"/>
                <w:szCs w:val="21"/>
                <w:highlight w:val="none"/>
              </w:rPr>
            </w:pPr>
            <w:r>
              <w:rPr>
                <w:rFonts w:hint="eastAsia" w:ascii="宋体" w:hAnsi="宋体"/>
                <w:color w:val="auto"/>
                <w:szCs w:val="21"/>
                <w:highlight w:val="none"/>
              </w:rPr>
              <w:t>开户账号：010000024450；</w:t>
            </w:r>
          </w:p>
          <w:p w14:paraId="724D6D11">
            <w:pPr>
              <w:spacing w:line="276" w:lineRule="auto"/>
              <w:rPr>
                <w:rFonts w:hint="eastAsia" w:ascii="宋体" w:hAnsi="宋体"/>
                <w:b/>
                <w:bCs/>
                <w:color w:val="auto"/>
                <w:szCs w:val="21"/>
                <w:highlight w:val="none"/>
              </w:rPr>
            </w:pPr>
            <w:r>
              <w:rPr>
                <w:rFonts w:hint="eastAsia" w:ascii="宋体" w:hAnsi="宋体"/>
                <w:b/>
                <w:bCs/>
                <w:color w:val="auto"/>
                <w:szCs w:val="21"/>
                <w:highlight w:val="none"/>
              </w:rPr>
              <w:t>保证金收取：</w:t>
            </w:r>
          </w:p>
          <w:p w14:paraId="1F5E0BAE">
            <w:pPr>
              <w:spacing w:line="276" w:lineRule="auto"/>
              <w:rPr>
                <w:rFonts w:hint="eastAsia" w:ascii="宋体" w:hAnsi="宋体"/>
                <w:color w:val="auto"/>
                <w:szCs w:val="21"/>
                <w:highlight w:val="none"/>
              </w:rPr>
            </w:pPr>
            <w:r>
              <w:rPr>
                <w:rFonts w:hint="eastAsia" w:ascii="宋体" w:hAnsi="宋体"/>
                <w:color w:val="auto"/>
                <w:szCs w:val="21"/>
                <w:highlight w:val="none"/>
              </w:rPr>
              <w:t>1.以支票方式提交的，出票人必须是供应商，支票收款人必须是采购人，支票必须正确填写收款人信息，用途须注明用于本项目（项目名称）的投标保证金。供应商必须保证支票有效，否则一切后果自负；</w:t>
            </w:r>
          </w:p>
          <w:p w14:paraId="75F2D844">
            <w:pPr>
              <w:spacing w:line="276" w:lineRule="auto"/>
              <w:rPr>
                <w:rFonts w:hint="eastAsia" w:ascii="宋体" w:hAnsi="宋体"/>
                <w:color w:val="auto"/>
                <w:szCs w:val="21"/>
                <w:highlight w:val="none"/>
              </w:rPr>
            </w:pPr>
            <w:r>
              <w:rPr>
                <w:rFonts w:hint="eastAsia" w:ascii="宋体" w:hAnsi="宋体"/>
                <w:color w:val="auto"/>
                <w:szCs w:val="21"/>
                <w:highlight w:val="none"/>
              </w:rPr>
              <w:t>2.以汇票方式提交的，出票人必须是供应商，收款人必须是采购人。备注内必须注明用于本项目（项目名称）的投标保证金，供应商必须保证汇票有效，否则一切后果自负；</w:t>
            </w:r>
          </w:p>
          <w:p w14:paraId="005FA28A">
            <w:pPr>
              <w:spacing w:line="276" w:lineRule="auto"/>
              <w:rPr>
                <w:rFonts w:hint="eastAsia" w:ascii="宋体" w:hAnsi="宋体"/>
                <w:color w:val="auto"/>
                <w:szCs w:val="21"/>
                <w:highlight w:val="none"/>
              </w:rPr>
            </w:pPr>
            <w:r>
              <w:rPr>
                <w:rFonts w:hint="eastAsia" w:ascii="宋体" w:hAnsi="宋体"/>
                <w:color w:val="auto"/>
                <w:szCs w:val="21"/>
                <w:highlight w:val="none"/>
              </w:rPr>
              <w:t>3.以本票提交的，出票人必须是供应商，收款人必须是采购人。备注内必须注明用于本项目（项目名称）的投标保证金，供应商必须保证本票有效，否则一切后果自负；</w:t>
            </w:r>
          </w:p>
          <w:p w14:paraId="6FEB4918">
            <w:pPr>
              <w:spacing w:line="276" w:lineRule="auto"/>
              <w:rPr>
                <w:rFonts w:hint="eastAsia" w:ascii="宋体" w:hAnsi="宋体"/>
                <w:color w:val="auto"/>
                <w:szCs w:val="21"/>
                <w:highlight w:val="none"/>
              </w:rPr>
            </w:pPr>
            <w:r>
              <w:rPr>
                <w:rFonts w:hint="eastAsia" w:ascii="宋体" w:hAnsi="宋体"/>
                <w:color w:val="auto"/>
                <w:szCs w:val="21"/>
                <w:highlight w:val="none"/>
              </w:rPr>
              <w:t>4.以保函方式提交的，保函申请人必须是供应商，受益人必须是采购人；银行保函必须正确填写受益人和申请人的全称，并与招标文件规定的名称相一致。银行保函的有效期应当不小于投标有效期，以免造成投标无效。</w:t>
            </w:r>
          </w:p>
          <w:p w14:paraId="30600A11">
            <w:pPr>
              <w:spacing w:line="276" w:lineRule="auto"/>
              <w:rPr>
                <w:rFonts w:hint="eastAsia" w:ascii="宋体" w:hAnsi="宋体"/>
                <w:color w:val="auto"/>
                <w:szCs w:val="21"/>
                <w:highlight w:val="none"/>
              </w:rPr>
            </w:pPr>
            <w:r>
              <w:rPr>
                <w:rFonts w:hint="eastAsia" w:ascii="宋体" w:hAnsi="宋体"/>
                <w:color w:val="auto"/>
                <w:szCs w:val="21"/>
                <w:highlight w:val="none"/>
              </w:rPr>
              <w:t xml:space="preserve">5.以保证保险方式提交的，保险申请人必须是供应商，受益人必须是采购人；保险必须正确填写受益人和申请人的全称，并与招标文件规定的名称相一致。保险的有效期应当不小于投标有效期，以免造成投标无效。                                                 </w:t>
            </w:r>
          </w:p>
          <w:p w14:paraId="6F6F0910">
            <w:pPr>
              <w:spacing w:line="276" w:lineRule="auto"/>
              <w:rPr>
                <w:rFonts w:hint="eastAsia" w:ascii="宋体" w:hAnsi="宋体"/>
                <w:b/>
                <w:bCs/>
                <w:color w:val="auto"/>
                <w:szCs w:val="21"/>
                <w:highlight w:val="none"/>
              </w:rPr>
            </w:pPr>
            <w:r>
              <w:rPr>
                <w:rFonts w:hint="eastAsia" w:ascii="宋体" w:hAnsi="宋体"/>
                <w:b/>
                <w:bCs/>
                <w:color w:val="auto"/>
                <w:szCs w:val="21"/>
                <w:highlight w:val="none"/>
              </w:rPr>
              <w:t>保证金退还：</w:t>
            </w:r>
          </w:p>
          <w:p w14:paraId="11BB9151">
            <w:pPr>
              <w:spacing w:line="276" w:lineRule="auto"/>
              <w:rPr>
                <w:rFonts w:hint="eastAsia" w:ascii="宋体" w:hAnsi="宋体"/>
                <w:color w:val="auto"/>
                <w:szCs w:val="21"/>
                <w:highlight w:val="none"/>
              </w:rPr>
            </w:pPr>
            <w:r>
              <w:rPr>
                <w:rFonts w:hint="eastAsia" w:ascii="宋体" w:hAnsi="宋体"/>
                <w:color w:val="auto"/>
                <w:szCs w:val="21"/>
                <w:highlight w:val="none"/>
              </w:rPr>
              <w:t>1）以电汇、网银、转账方式缴纳的保证金，以网银对公转账的方式退还到供应商打款账户；</w:t>
            </w:r>
          </w:p>
          <w:p w14:paraId="63C2967B">
            <w:pPr>
              <w:spacing w:line="276" w:lineRule="auto"/>
              <w:rPr>
                <w:rFonts w:hint="eastAsia" w:ascii="宋体" w:hAnsi="宋体"/>
                <w:color w:val="auto"/>
                <w:szCs w:val="21"/>
                <w:highlight w:val="none"/>
              </w:rPr>
            </w:pPr>
            <w:r>
              <w:rPr>
                <w:rFonts w:hint="eastAsia" w:ascii="宋体" w:hAnsi="宋体"/>
                <w:color w:val="auto"/>
                <w:szCs w:val="21"/>
                <w:highlight w:val="none"/>
              </w:rPr>
              <w:t>2）以支票、汇票及本票等票据方式缴纳的保证金，经财务查账确认后以对公转账的方式退还到供应商开户账户；</w:t>
            </w:r>
          </w:p>
          <w:p w14:paraId="3B13E685">
            <w:pPr>
              <w:spacing w:line="276" w:lineRule="auto"/>
              <w:rPr>
                <w:rFonts w:hint="eastAsia" w:ascii="宋体" w:hAnsi="宋体"/>
                <w:color w:val="auto"/>
                <w:szCs w:val="21"/>
                <w:highlight w:val="none"/>
              </w:rPr>
            </w:pPr>
            <w:r>
              <w:rPr>
                <w:rFonts w:hint="eastAsia" w:ascii="宋体" w:hAnsi="宋体"/>
                <w:color w:val="auto"/>
                <w:szCs w:val="21"/>
                <w:highlight w:val="none"/>
              </w:rPr>
              <w:t>3）以银行保函或者保证保险方式缴纳的保证金由供应商自行联系出函机构。</w:t>
            </w:r>
          </w:p>
          <w:p w14:paraId="057F3D22">
            <w:pPr>
              <w:spacing w:line="276" w:lineRule="auto"/>
              <w:rPr>
                <w:rFonts w:hint="eastAsia" w:ascii="宋体" w:hAnsi="宋体"/>
                <w:color w:val="auto"/>
                <w:szCs w:val="21"/>
                <w:highlight w:val="none"/>
              </w:rPr>
            </w:pPr>
            <w:r>
              <w:rPr>
                <w:rFonts w:hint="eastAsia" w:ascii="宋体" w:hAnsi="宋体"/>
                <w:color w:val="auto"/>
                <w:szCs w:val="21"/>
                <w:highlight w:val="none"/>
              </w:rPr>
              <w:t>注：</w:t>
            </w:r>
          </w:p>
          <w:p w14:paraId="7D58F965">
            <w:pPr>
              <w:spacing w:line="276" w:lineRule="auto"/>
              <w:rPr>
                <w:rFonts w:hint="eastAsia" w:ascii="宋体" w:hAnsi="宋体"/>
                <w:color w:val="auto"/>
                <w:szCs w:val="21"/>
                <w:highlight w:val="none"/>
              </w:rPr>
            </w:pPr>
            <w:r>
              <w:rPr>
                <w:rFonts w:hint="eastAsia" w:ascii="宋体" w:hAnsi="宋体"/>
                <w:color w:val="auto"/>
                <w:szCs w:val="21"/>
                <w:highlight w:val="none"/>
              </w:rPr>
              <w:t>1、保证金应从对公账户中转出。</w:t>
            </w:r>
          </w:p>
          <w:p w14:paraId="596492CC">
            <w:pPr>
              <w:spacing w:line="276" w:lineRule="auto"/>
              <w:rPr>
                <w:rFonts w:hint="eastAsia" w:ascii="宋体" w:hAnsi="宋体"/>
                <w:color w:val="auto"/>
                <w:szCs w:val="21"/>
                <w:highlight w:val="none"/>
              </w:rPr>
            </w:pPr>
            <w:r>
              <w:rPr>
                <w:rFonts w:hint="eastAsia" w:ascii="宋体" w:hAnsi="宋体"/>
                <w:color w:val="auto"/>
                <w:szCs w:val="21"/>
                <w:highlight w:val="none"/>
              </w:rPr>
              <w:t>2、保证金可缴纳至上述银行账户中。</w:t>
            </w:r>
          </w:p>
          <w:p w14:paraId="026086BD">
            <w:pPr>
              <w:spacing w:line="276" w:lineRule="auto"/>
              <w:rPr>
                <w:rFonts w:hint="eastAsia" w:ascii="宋体" w:hAnsi="宋体"/>
                <w:color w:val="auto"/>
                <w:szCs w:val="21"/>
                <w:highlight w:val="none"/>
              </w:rPr>
            </w:pPr>
            <w:r>
              <w:rPr>
                <w:rFonts w:hint="eastAsia" w:ascii="宋体" w:hAnsi="宋体"/>
                <w:color w:val="auto"/>
                <w:szCs w:val="21"/>
                <w:highlight w:val="none"/>
              </w:rPr>
              <w:t>3、每项目、每标段的投标保证金均不相同，请缴纳保证金时注意，财务电话：0871-65310700。</w:t>
            </w:r>
          </w:p>
          <w:p w14:paraId="5B899336">
            <w:pPr>
              <w:spacing w:line="276" w:lineRule="auto"/>
              <w:rPr>
                <w:rFonts w:hint="eastAsia" w:ascii="宋体" w:hAnsi="宋体"/>
                <w:color w:val="auto"/>
                <w:szCs w:val="21"/>
                <w:highlight w:val="none"/>
              </w:rPr>
            </w:pPr>
            <w:r>
              <w:rPr>
                <w:rFonts w:hint="eastAsia" w:ascii="宋体" w:hAnsi="宋体"/>
                <w:color w:val="auto"/>
                <w:szCs w:val="21"/>
                <w:highlight w:val="none"/>
              </w:rPr>
              <w:t>4、请在汇款时按完整的银行账号进行汇款。</w:t>
            </w:r>
          </w:p>
          <w:p w14:paraId="4C1D9FFB">
            <w:pPr>
              <w:spacing w:line="276" w:lineRule="auto"/>
              <w:rPr>
                <w:rFonts w:hint="eastAsia" w:ascii="宋体" w:hAnsi="宋体"/>
                <w:color w:val="auto"/>
                <w:szCs w:val="21"/>
                <w:highlight w:val="none"/>
              </w:rPr>
            </w:pPr>
            <w:r>
              <w:rPr>
                <w:rFonts w:hint="eastAsia" w:ascii="宋体" w:hAnsi="宋体"/>
                <w:color w:val="auto"/>
                <w:szCs w:val="21"/>
                <w:highlight w:val="none"/>
              </w:rPr>
              <w:t>5、根据《云南省发展和改革委员会等部门关于鼓励减免政府投资项目投标保证金的通知》（云发改交易管理〔2023〕397号）文的规定，本项目减免投标保证金，减免后实际收取保证金金额为</w:t>
            </w:r>
            <w:r>
              <w:rPr>
                <w:rFonts w:hint="eastAsia" w:ascii="宋体" w:hAnsi="宋体"/>
                <w:color w:val="auto"/>
                <w:szCs w:val="21"/>
                <w:highlight w:val="none"/>
                <w:lang w:val="en-US" w:eastAsia="zh-CN"/>
              </w:rPr>
              <w:t>8</w:t>
            </w:r>
            <w:r>
              <w:rPr>
                <w:rFonts w:hint="eastAsia" w:ascii="宋体" w:hAnsi="宋体"/>
                <w:color w:val="auto"/>
                <w:szCs w:val="21"/>
                <w:highlight w:val="none"/>
              </w:rPr>
              <w:t>000元。</w:t>
            </w:r>
          </w:p>
        </w:tc>
      </w:tr>
      <w:tr w14:paraId="58FF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3C44A5C5">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.1</w:t>
            </w:r>
          </w:p>
        </w:tc>
        <w:tc>
          <w:tcPr>
            <w:tcW w:w="2626" w:type="dxa"/>
            <w:vAlign w:val="center"/>
          </w:tcPr>
          <w:p w14:paraId="30984A0A">
            <w:pPr>
              <w:pStyle w:val="19"/>
              <w:spacing w:line="276" w:lineRule="auto"/>
              <w:rPr>
                <w:rFonts w:hint="eastAsia"/>
                <w:color w:val="auto"/>
                <w:sz w:val="21"/>
                <w:szCs w:val="21"/>
                <w:highlight w:val="none"/>
              </w:rPr>
            </w:pPr>
            <w:r>
              <w:rPr>
                <w:rFonts w:hint="eastAsia"/>
                <w:color w:val="auto"/>
                <w:sz w:val="21"/>
                <w:szCs w:val="21"/>
                <w:highlight w:val="none"/>
              </w:rPr>
              <w:t>提交投标文件截止时间</w:t>
            </w:r>
          </w:p>
        </w:tc>
        <w:tc>
          <w:tcPr>
            <w:tcW w:w="6050" w:type="dxa"/>
            <w:vAlign w:val="center"/>
          </w:tcPr>
          <w:p w14:paraId="5D5D2272">
            <w:pPr>
              <w:pStyle w:val="19"/>
              <w:spacing w:line="276" w:lineRule="auto"/>
              <w:rPr>
                <w:rFonts w:hint="eastAsia"/>
                <w:color w:val="auto"/>
                <w:sz w:val="21"/>
                <w:szCs w:val="21"/>
                <w:highlight w:val="none"/>
              </w:rPr>
            </w:pPr>
            <w:r>
              <w:rPr>
                <w:rFonts w:hint="eastAsia"/>
                <w:color w:val="auto"/>
                <w:sz w:val="21"/>
                <w:szCs w:val="21"/>
                <w:highlight w:val="none"/>
              </w:rPr>
              <w:t>见第一章“招标公告”</w:t>
            </w:r>
          </w:p>
        </w:tc>
      </w:tr>
      <w:tr w14:paraId="742B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5596C65">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.2</w:t>
            </w:r>
          </w:p>
        </w:tc>
        <w:tc>
          <w:tcPr>
            <w:tcW w:w="2626" w:type="dxa"/>
            <w:vAlign w:val="center"/>
          </w:tcPr>
          <w:p w14:paraId="62A0493D">
            <w:pPr>
              <w:pStyle w:val="19"/>
              <w:spacing w:line="276" w:lineRule="auto"/>
              <w:rPr>
                <w:rFonts w:hint="eastAsia"/>
                <w:color w:val="auto"/>
                <w:sz w:val="21"/>
                <w:szCs w:val="21"/>
                <w:highlight w:val="none"/>
              </w:rPr>
            </w:pPr>
            <w:r>
              <w:rPr>
                <w:rFonts w:hint="eastAsia"/>
                <w:color w:val="auto"/>
                <w:sz w:val="21"/>
                <w:szCs w:val="21"/>
                <w:highlight w:val="none"/>
              </w:rPr>
              <w:t>提交投标文件的地点</w:t>
            </w:r>
          </w:p>
        </w:tc>
        <w:tc>
          <w:tcPr>
            <w:tcW w:w="6050" w:type="dxa"/>
            <w:vAlign w:val="center"/>
          </w:tcPr>
          <w:p w14:paraId="3A268E3D">
            <w:pPr>
              <w:pStyle w:val="19"/>
              <w:spacing w:line="276" w:lineRule="auto"/>
              <w:rPr>
                <w:rFonts w:hint="eastAsia"/>
                <w:color w:val="auto"/>
                <w:sz w:val="21"/>
                <w:szCs w:val="21"/>
                <w:highlight w:val="none"/>
                <w:u w:val="single"/>
              </w:rPr>
            </w:pPr>
            <w:r>
              <w:rPr>
                <w:rFonts w:hint="eastAsia"/>
                <w:color w:val="auto"/>
                <w:sz w:val="21"/>
                <w:szCs w:val="21"/>
                <w:highlight w:val="none"/>
              </w:rPr>
              <w:t>见第一章“招标公告”</w:t>
            </w:r>
          </w:p>
        </w:tc>
      </w:tr>
      <w:tr w14:paraId="5F68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470A7379">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.3</w:t>
            </w:r>
          </w:p>
        </w:tc>
        <w:tc>
          <w:tcPr>
            <w:tcW w:w="2626" w:type="dxa"/>
            <w:vAlign w:val="center"/>
          </w:tcPr>
          <w:p w14:paraId="76FCC916">
            <w:pPr>
              <w:pStyle w:val="19"/>
              <w:spacing w:line="276" w:lineRule="auto"/>
              <w:rPr>
                <w:rFonts w:hint="eastAsia"/>
                <w:color w:val="auto"/>
                <w:sz w:val="21"/>
                <w:szCs w:val="21"/>
                <w:highlight w:val="none"/>
              </w:rPr>
            </w:pPr>
            <w:r>
              <w:rPr>
                <w:rFonts w:hint="eastAsia"/>
                <w:color w:val="auto"/>
                <w:sz w:val="21"/>
                <w:szCs w:val="21"/>
                <w:highlight w:val="none"/>
              </w:rPr>
              <w:t>投标文件的退还</w:t>
            </w:r>
          </w:p>
        </w:tc>
        <w:tc>
          <w:tcPr>
            <w:tcW w:w="6050" w:type="dxa"/>
            <w:vAlign w:val="center"/>
          </w:tcPr>
          <w:p w14:paraId="5ABB52EB">
            <w:pPr>
              <w:pStyle w:val="19"/>
              <w:spacing w:line="276" w:lineRule="auto"/>
              <w:rPr>
                <w:rFonts w:hint="eastAsia"/>
                <w:color w:val="auto"/>
                <w:sz w:val="21"/>
                <w:szCs w:val="21"/>
                <w:highlight w:val="none"/>
              </w:rPr>
            </w:pPr>
            <w:r>
              <w:rPr>
                <w:rFonts w:hint="eastAsia"/>
                <w:color w:val="auto"/>
                <w:sz w:val="21"/>
                <w:szCs w:val="21"/>
                <w:highlight w:val="none"/>
              </w:rPr>
              <w:t>不予退还</w:t>
            </w:r>
          </w:p>
        </w:tc>
      </w:tr>
      <w:tr w14:paraId="5CD4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4807A5B">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4</w:t>
            </w:r>
            <w:r>
              <w:rPr>
                <w:rFonts w:hint="eastAsia"/>
                <w:color w:val="auto"/>
                <w:sz w:val="21"/>
                <w:szCs w:val="21"/>
                <w:highlight w:val="none"/>
              </w:rPr>
              <w:t>.1</w:t>
            </w:r>
          </w:p>
        </w:tc>
        <w:tc>
          <w:tcPr>
            <w:tcW w:w="2626" w:type="dxa"/>
            <w:vAlign w:val="center"/>
          </w:tcPr>
          <w:p w14:paraId="5FE2EA05">
            <w:pPr>
              <w:pStyle w:val="19"/>
              <w:spacing w:line="276" w:lineRule="auto"/>
              <w:rPr>
                <w:rFonts w:hint="eastAsia"/>
                <w:color w:val="auto"/>
                <w:sz w:val="21"/>
                <w:szCs w:val="21"/>
                <w:highlight w:val="none"/>
              </w:rPr>
            </w:pPr>
            <w:r>
              <w:rPr>
                <w:rFonts w:hint="eastAsia"/>
                <w:color w:val="auto"/>
                <w:sz w:val="21"/>
                <w:szCs w:val="21"/>
                <w:highlight w:val="none"/>
              </w:rPr>
              <w:t>开标时间和地点</w:t>
            </w:r>
          </w:p>
        </w:tc>
        <w:tc>
          <w:tcPr>
            <w:tcW w:w="6050" w:type="dxa"/>
            <w:vAlign w:val="center"/>
          </w:tcPr>
          <w:p w14:paraId="1F38B06A">
            <w:pPr>
              <w:pStyle w:val="19"/>
              <w:spacing w:line="276" w:lineRule="auto"/>
              <w:rPr>
                <w:rFonts w:hint="eastAsia"/>
                <w:color w:val="auto"/>
                <w:sz w:val="21"/>
                <w:szCs w:val="21"/>
                <w:highlight w:val="none"/>
              </w:rPr>
            </w:pPr>
            <w:r>
              <w:rPr>
                <w:rFonts w:hint="eastAsia"/>
                <w:color w:val="auto"/>
                <w:sz w:val="21"/>
                <w:szCs w:val="21"/>
                <w:highlight w:val="none"/>
              </w:rPr>
              <w:t xml:space="preserve">同提交投标文件截止时间和地点  </w:t>
            </w:r>
          </w:p>
        </w:tc>
      </w:tr>
      <w:tr w14:paraId="21E9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60BA5F7E">
            <w:pPr>
              <w:pStyle w:val="19"/>
              <w:spacing w:line="276" w:lineRule="auto"/>
              <w:jc w:val="center"/>
              <w:rPr>
                <w:rFonts w:hint="eastAsia"/>
                <w:color w:val="auto"/>
                <w:sz w:val="21"/>
                <w:szCs w:val="21"/>
                <w:highlight w:val="none"/>
              </w:rPr>
            </w:pPr>
            <w:r>
              <w:rPr>
                <w:rFonts w:hint="eastAsia"/>
                <w:color w:val="auto"/>
                <w:sz w:val="21"/>
                <w:szCs w:val="21"/>
                <w:highlight w:val="none"/>
              </w:rPr>
              <w:t>26.3</w:t>
            </w:r>
          </w:p>
        </w:tc>
        <w:tc>
          <w:tcPr>
            <w:tcW w:w="2626" w:type="dxa"/>
            <w:vAlign w:val="center"/>
          </w:tcPr>
          <w:p w14:paraId="68EE4E0C">
            <w:pPr>
              <w:pStyle w:val="19"/>
              <w:spacing w:line="276" w:lineRule="auto"/>
              <w:rPr>
                <w:rFonts w:hint="eastAsia"/>
                <w:color w:val="auto"/>
                <w:sz w:val="21"/>
                <w:szCs w:val="21"/>
                <w:highlight w:val="none"/>
              </w:rPr>
            </w:pPr>
            <w:r>
              <w:rPr>
                <w:rFonts w:hint="eastAsia"/>
                <w:color w:val="auto"/>
                <w:sz w:val="21"/>
                <w:szCs w:val="21"/>
                <w:highlight w:val="none"/>
              </w:rPr>
              <w:t>评标方法</w:t>
            </w:r>
          </w:p>
        </w:tc>
        <w:tc>
          <w:tcPr>
            <w:tcW w:w="6050" w:type="dxa"/>
            <w:vAlign w:val="center"/>
          </w:tcPr>
          <w:p w14:paraId="19350412">
            <w:pPr>
              <w:spacing w:line="276" w:lineRule="auto"/>
              <w:rPr>
                <w:rFonts w:hint="eastAsia" w:ascii="宋体" w:hAnsi="宋体"/>
                <w:color w:val="auto"/>
                <w:szCs w:val="21"/>
                <w:highlight w:val="none"/>
              </w:rPr>
            </w:pPr>
            <w:r>
              <w:rPr>
                <w:rFonts w:hint="eastAsia" w:ascii="宋体" w:hAnsi="宋体"/>
                <w:color w:val="auto"/>
                <w:szCs w:val="21"/>
                <w:highlight w:val="none"/>
              </w:rPr>
              <w:t>综合评分法</w:t>
            </w:r>
          </w:p>
        </w:tc>
      </w:tr>
      <w:tr w14:paraId="2C3A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480" w:type="dxa"/>
            <w:vAlign w:val="center"/>
          </w:tcPr>
          <w:p w14:paraId="228EA670">
            <w:pPr>
              <w:pStyle w:val="19"/>
              <w:spacing w:line="276" w:lineRule="auto"/>
              <w:jc w:val="center"/>
              <w:rPr>
                <w:rFonts w:hint="eastAsia"/>
                <w:color w:val="auto"/>
                <w:sz w:val="21"/>
                <w:szCs w:val="21"/>
                <w:highlight w:val="none"/>
              </w:rPr>
            </w:pPr>
            <w:r>
              <w:rPr>
                <w:color w:val="auto"/>
                <w:sz w:val="21"/>
                <w:szCs w:val="21"/>
                <w:highlight w:val="none"/>
              </w:rPr>
              <w:t>3</w:t>
            </w:r>
            <w:r>
              <w:rPr>
                <w:rFonts w:hint="eastAsia"/>
                <w:color w:val="auto"/>
                <w:sz w:val="21"/>
                <w:szCs w:val="21"/>
                <w:highlight w:val="none"/>
              </w:rPr>
              <w:t>1.1</w:t>
            </w:r>
          </w:p>
        </w:tc>
        <w:tc>
          <w:tcPr>
            <w:tcW w:w="2626" w:type="dxa"/>
            <w:vAlign w:val="center"/>
          </w:tcPr>
          <w:p w14:paraId="5593E5E3">
            <w:pPr>
              <w:pStyle w:val="19"/>
              <w:spacing w:line="276" w:lineRule="auto"/>
              <w:rPr>
                <w:rFonts w:hint="eastAsia"/>
                <w:color w:val="auto"/>
                <w:sz w:val="21"/>
                <w:szCs w:val="21"/>
                <w:highlight w:val="none"/>
              </w:rPr>
            </w:pPr>
            <w:r>
              <w:rPr>
                <w:color w:val="auto"/>
                <w:sz w:val="21"/>
                <w:szCs w:val="21"/>
                <w:highlight w:val="none"/>
              </w:rPr>
              <w:t>履约</w:t>
            </w:r>
            <w:r>
              <w:rPr>
                <w:rFonts w:hint="eastAsia"/>
                <w:color w:val="auto"/>
                <w:sz w:val="21"/>
                <w:szCs w:val="21"/>
                <w:highlight w:val="none"/>
              </w:rPr>
              <w:t>担保（履约保证金）</w:t>
            </w:r>
          </w:p>
        </w:tc>
        <w:tc>
          <w:tcPr>
            <w:tcW w:w="6050" w:type="dxa"/>
            <w:vAlign w:val="center"/>
          </w:tcPr>
          <w:p w14:paraId="25E70F15">
            <w:pPr>
              <w:spacing w:line="276"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合同金额10%以内。</w:t>
            </w:r>
          </w:p>
        </w:tc>
      </w:tr>
      <w:tr w14:paraId="7F53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4EAE971">
            <w:pPr>
              <w:pStyle w:val="19"/>
              <w:spacing w:line="276" w:lineRule="auto"/>
              <w:jc w:val="center"/>
              <w:rPr>
                <w:rFonts w:hint="eastAsia"/>
                <w:color w:val="auto"/>
                <w:sz w:val="21"/>
                <w:szCs w:val="21"/>
                <w:highlight w:val="none"/>
              </w:rPr>
            </w:pPr>
            <w:r>
              <w:rPr>
                <w:rFonts w:hint="eastAsia"/>
                <w:color w:val="auto"/>
                <w:sz w:val="21"/>
                <w:szCs w:val="21"/>
                <w:highlight w:val="none"/>
              </w:rPr>
              <w:t>34.1</w:t>
            </w:r>
          </w:p>
        </w:tc>
        <w:tc>
          <w:tcPr>
            <w:tcW w:w="2626" w:type="dxa"/>
            <w:vAlign w:val="center"/>
          </w:tcPr>
          <w:p w14:paraId="530A8784">
            <w:pPr>
              <w:pStyle w:val="19"/>
              <w:spacing w:line="276" w:lineRule="auto"/>
              <w:rPr>
                <w:rFonts w:hint="eastAsia"/>
                <w:color w:val="auto"/>
                <w:sz w:val="21"/>
                <w:szCs w:val="21"/>
                <w:highlight w:val="none"/>
              </w:rPr>
            </w:pPr>
            <w:r>
              <w:rPr>
                <w:rFonts w:hint="eastAsia"/>
                <w:color w:val="auto"/>
                <w:sz w:val="21"/>
                <w:szCs w:val="21"/>
                <w:highlight w:val="none"/>
              </w:rPr>
              <w:t>备选方案</w:t>
            </w:r>
          </w:p>
        </w:tc>
        <w:tc>
          <w:tcPr>
            <w:tcW w:w="6050" w:type="dxa"/>
            <w:vAlign w:val="center"/>
          </w:tcPr>
          <w:p w14:paraId="55FDA945">
            <w:pPr>
              <w:pStyle w:val="19"/>
              <w:spacing w:line="276" w:lineRule="auto"/>
              <w:rPr>
                <w:rFonts w:hint="eastAsia"/>
                <w:color w:val="auto"/>
                <w:sz w:val="21"/>
                <w:szCs w:val="21"/>
                <w:highlight w:val="none"/>
              </w:rPr>
            </w:pPr>
            <w:r>
              <w:rPr>
                <w:rFonts w:hint="eastAsia"/>
                <w:color w:val="auto"/>
                <w:sz w:val="21"/>
                <w:szCs w:val="21"/>
                <w:highlight w:val="none"/>
              </w:rPr>
              <w:t>不接受</w:t>
            </w:r>
          </w:p>
        </w:tc>
      </w:tr>
      <w:tr w14:paraId="3452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80" w:type="dxa"/>
            <w:vAlign w:val="center"/>
          </w:tcPr>
          <w:p w14:paraId="461AA666">
            <w:pPr>
              <w:pStyle w:val="19"/>
              <w:spacing w:line="276" w:lineRule="auto"/>
              <w:jc w:val="center"/>
              <w:rPr>
                <w:rFonts w:hint="eastAsia"/>
                <w:color w:val="auto"/>
                <w:sz w:val="21"/>
                <w:szCs w:val="21"/>
                <w:highlight w:val="none"/>
              </w:rPr>
            </w:pPr>
            <w:r>
              <w:rPr>
                <w:rFonts w:hint="eastAsia"/>
                <w:color w:val="auto"/>
                <w:sz w:val="21"/>
                <w:szCs w:val="21"/>
                <w:highlight w:val="none"/>
              </w:rPr>
              <w:t>34.2</w:t>
            </w:r>
          </w:p>
        </w:tc>
        <w:tc>
          <w:tcPr>
            <w:tcW w:w="8676" w:type="dxa"/>
            <w:gridSpan w:val="2"/>
            <w:vAlign w:val="center"/>
          </w:tcPr>
          <w:p w14:paraId="076E7A30">
            <w:pPr>
              <w:pStyle w:val="19"/>
              <w:spacing w:line="276" w:lineRule="auto"/>
              <w:rPr>
                <w:rFonts w:hint="eastAsia"/>
                <w:color w:val="auto"/>
                <w:sz w:val="21"/>
                <w:szCs w:val="21"/>
                <w:highlight w:val="none"/>
              </w:rPr>
            </w:pPr>
            <w:r>
              <w:rPr>
                <w:rFonts w:hint="eastAsia"/>
                <w:color w:val="auto"/>
                <w:sz w:val="21"/>
                <w:szCs w:val="21"/>
                <w:highlight w:val="none"/>
              </w:rPr>
              <w:t>需要补充的其他内容</w:t>
            </w:r>
          </w:p>
        </w:tc>
      </w:tr>
      <w:tr w14:paraId="05ED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480" w:type="dxa"/>
            <w:vAlign w:val="center"/>
          </w:tcPr>
          <w:p w14:paraId="52DA8C1E">
            <w:pPr>
              <w:pStyle w:val="19"/>
              <w:spacing w:line="276" w:lineRule="auto"/>
              <w:jc w:val="center"/>
              <w:rPr>
                <w:rFonts w:hint="eastAsia"/>
                <w:color w:val="auto"/>
                <w:sz w:val="21"/>
                <w:szCs w:val="21"/>
                <w:highlight w:val="none"/>
              </w:rPr>
            </w:pPr>
            <w:r>
              <w:rPr>
                <w:rFonts w:hint="eastAsia"/>
                <w:color w:val="auto"/>
                <w:sz w:val="21"/>
                <w:szCs w:val="21"/>
                <w:highlight w:val="none"/>
              </w:rPr>
              <w:t>1）</w:t>
            </w:r>
          </w:p>
        </w:tc>
        <w:tc>
          <w:tcPr>
            <w:tcW w:w="8676" w:type="dxa"/>
            <w:gridSpan w:val="2"/>
            <w:vAlign w:val="center"/>
          </w:tcPr>
          <w:p w14:paraId="253E3138">
            <w:pPr>
              <w:pStyle w:val="19"/>
              <w:spacing w:line="276" w:lineRule="auto"/>
              <w:rPr>
                <w:rFonts w:hint="eastAsia"/>
                <w:color w:val="auto"/>
                <w:sz w:val="21"/>
                <w:szCs w:val="21"/>
                <w:highlight w:val="none"/>
              </w:rPr>
            </w:pPr>
            <w:r>
              <w:rPr>
                <w:rFonts w:hint="eastAsia"/>
                <w:color w:val="auto"/>
                <w:sz w:val="21"/>
                <w:szCs w:val="21"/>
                <w:highlight w:val="none"/>
              </w:rPr>
              <w:t>省级政府采购中标人须知：</w:t>
            </w:r>
          </w:p>
          <w:p w14:paraId="5DF2EE69">
            <w:pPr>
              <w:pStyle w:val="19"/>
              <w:spacing w:line="276" w:lineRule="auto"/>
              <w:rPr>
                <w:rFonts w:hint="eastAsia"/>
                <w:color w:val="auto"/>
                <w:sz w:val="21"/>
                <w:szCs w:val="21"/>
                <w:highlight w:val="none"/>
              </w:rPr>
            </w:pPr>
            <w:r>
              <w:rPr>
                <w:rFonts w:hint="eastAsia"/>
                <w:color w:val="auto"/>
                <w:sz w:val="21"/>
                <w:szCs w:val="21"/>
                <w:highlight w:val="none"/>
              </w:rPr>
              <w:t>中标人在《云南省政府采购网》查询到中标公示后，需办理以下事宜：</w:t>
            </w:r>
          </w:p>
          <w:p w14:paraId="4BB10D68">
            <w:pPr>
              <w:pStyle w:val="19"/>
              <w:spacing w:line="276" w:lineRule="auto"/>
              <w:rPr>
                <w:rFonts w:hint="eastAsia"/>
                <w:color w:val="auto"/>
                <w:sz w:val="21"/>
                <w:szCs w:val="21"/>
                <w:highlight w:val="none"/>
              </w:rPr>
            </w:pPr>
            <w:r>
              <w:rPr>
                <w:rFonts w:hint="eastAsia"/>
                <w:color w:val="auto"/>
                <w:sz w:val="21"/>
                <w:szCs w:val="21"/>
                <w:highlight w:val="none"/>
              </w:rPr>
              <w:t>1、缴纳招标代理服务费。</w:t>
            </w:r>
          </w:p>
          <w:p w14:paraId="625C31C2">
            <w:pPr>
              <w:pStyle w:val="19"/>
              <w:spacing w:line="276" w:lineRule="auto"/>
              <w:rPr>
                <w:rFonts w:hint="eastAsia"/>
                <w:color w:val="auto"/>
                <w:sz w:val="21"/>
                <w:szCs w:val="21"/>
                <w:highlight w:val="none"/>
              </w:rPr>
            </w:pPr>
            <w:r>
              <w:rPr>
                <w:rFonts w:hint="eastAsia"/>
                <w:color w:val="auto"/>
                <w:sz w:val="21"/>
                <w:szCs w:val="21"/>
                <w:highlight w:val="none"/>
              </w:rPr>
              <w:t>2、与采购人联系、洽谈采购合同。</w:t>
            </w:r>
          </w:p>
        </w:tc>
      </w:tr>
      <w:tr w14:paraId="1650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115D4B61">
            <w:pPr>
              <w:pStyle w:val="19"/>
              <w:spacing w:line="276" w:lineRule="auto"/>
              <w:jc w:val="center"/>
              <w:rPr>
                <w:rFonts w:hint="eastAsia"/>
                <w:color w:val="auto"/>
                <w:sz w:val="21"/>
                <w:szCs w:val="21"/>
                <w:highlight w:val="none"/>
              </w:rPr>
            </w:pPr>
            <w:r>
              <w:rPr>
                <w:rFonts w:hint="eastAsia"/>
                <w:color w:val="auto"/>
                <w:sz w:val="21"/>
                <w:szCs w:val="21"/>
                <w:highlight w:val="none"/>
              </w:rPr>
              <w:t>2）</w:t>
            </w:r>
          </w:p>
        </w:tc>
        <w:tc>
          <w:tcPr>
            <w:tcW w:w="8676" w:type="dxa"/>
            <w:gridSpan w:val="2"/>
            <w:vAlign w:val="center"/>
          </w:tcPr>
          <w:p w14:paraId="43217771">
            <w:pPr>
              <w:pStyle w:val="19"/>
              <w:spacing w:line="276" w:lineRule="auto"/>
              <w:rPr>
                <w:rFonts w:hint="eastAsia"/>
                <w:color w:val="auto"/>
                <w:sz w:val="21"/>
                <w:szCs w:val="21"/>
                <w:highlight w:val="none"/>
              </w:rPr>
            </w:pPr>
            <w:r>
              <w:rPr>
                <w:rFonts w:hint="eastAsia"/>
                <w:color w:val="auto"/>
                <w:sz w:val="21"/>
                <w:szCs w:val="21"/>
                <w:highlight w:val="none"/>
              </w:rPr>
              <w:t>中标服务费发票开具说明：</w:t>
            </w:r>
          </w:p>
          <w:p w14:paraId="75F01485">
            <w:pPr>
              <w:pStyle w:val="19"/>
              <w:spacing w:line="276" w:lineRule="auto"/>
              <w:rPr>
                <w:rFonts w:hint="eastAsia"/>
                <w:color w:val="auto"/>
                <w:sz w:val="21"/>
                <w:szCs w:val="21"/>
                <w:highlight w:val="none"/>
              </w:rPr>
            </w:pPr>
            <w:r>
              <w:rPr>
                <w:rFonts w:hint="eastAsia"/>
                <w:color w:val="auto"/>
                <w:sz w:val="21"/>
                <w:szCs w:val="21"/>
                <w:highlight w:val="none"/>
              </w:rPr>
              <w:t>需要开具增值税专用发票的投标人，除具备增值税一般纳税人资格外，还须带上：增值税专用发票的开票信息（在税务机关登记的单位名称，税务登记号，地址和电话，开户银行和账号）并加盖该公司财务专用章，到云南招标股份有限公司财务部现场办理发票开具手续。</w:t>
            </w:r>
          </w:p>
        </w:tc>
      </w:tr>
      <w:tr w14:paraId="2111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1E52C29E">
            <w:pPr>
              <w:pStyle w:val="19"/>
              <w:spacing w:line="276" w:lineRule="auto"/>
              <w:jc w:val="center"/>
              <w:rPr>
                <w:rFonts w:hint="eastAsia"/>
                <w:color w:val="auto"/>
                <w:sz w:val="21"/>
                <w:szCs w:val="21"/>
                <w:highlight w:val="none"/>
              </w:rPr>
            </w:pPr>
            <w:r>
              <w:rPr>
                <w:rFonts w:hint="eastAsia"/>
                <w:color w:val="auto"/>
                <w:sz w:val="21"/>
                <w:szCs w:val="21"/>
                <w:highlight w:val="none"/>
              </w:rPr>
              <w:t>3）</w:t>
            </w:r>
          </w:p>
        </w:tc>
        <w:tc>
          <w:tcPr>
            <w:tcW w:w="8676" w:type="dxa"/>
            <w:gridSpan w:val="2"/>
            <w:vAlign w:val="center"/>
          </w:tcPr>
          <w:p w14:paraId="6800FC11">
            <w:pPr>
              <w:pStyle w:val="19"/>
              <w:spacing w:line="276" w:lineRule="auto"/>
              <w:rPr>
                <w:rFonts w:hint="eastAsia"/>
                <w:b/>
                <w:color w:val="auto"/>
                <w:sz w:val="21"/>
                <w:szCs w:val="21"/>
                <w:highlight w:val="none"/>
              </w:rPr>
            </w:pPr>
            <w:r>
              <w:rPr>
                <w:rFonts w:hint="eastAsia"/>
                <w:b/>
                <w:color w:val="auto"/>
                <w:sz w:val="21"/>
                <w:szCs w:val="21"/>
                <w:highlight w:val="none"/>
              </w:rPr>
              <w:t>投标人在递交投标文件时需要递交的其他证照资料</w:t>
            </w:r>
          </w:p>
          <w:p w14:paraId="08D2FBC2">
            <w:pPr>
              <w:pStyle w:val="19"/>
              <w:spacing w:line="276" w:lineRule="auto"/>
              <w:rPr>
                <w:rFonts w:hint="eastAsia"/>
                <w:color w:val="auto"/>
                <w:sz w:val="21"/>
                <w:szCs w:val="21"/>
                <w:highlight w:val="none"/>
              </w:rPr>
            </w:pPr>
            <w:r>
              <w:rPr>
                <w:rFonts w:hint="eastAsia"/>
                <w:b/>
                <w:color w:val="auto"/>
                <w:sz w:val="21"/>
                <w:szCs w:val="21"/>
                <w:highlight w:val="none"/>
              </w:rPr>
              <w:t>无</w:t>
            </w:r>
          </w:p>
        </w:tc>
      </w:tr>
      <w:tr w14:paraId="3250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450E7268">
            <w:pPr>
              <w:pStyle w:val="19"/>
              <w:spacing w:line="276" w:lineRule="auto"/>
              <w:jc w:val="center"/>
              <w:rPr>
                <w:rFonts w:hint="eastAsia"/>
                <w:color w:val="auto"/>
                <w:sz w:val="21"/>
                <w:szCs w:val="21"/>
                <w:highlight w:val="none"/>
              </w:rPr>
            </w:pPr>
            <w:r>
              <w:rPr>
                <w:rFonts w:hint="eastAsia"/>
                <w:color w:val="auto"/>
                <w:sz w:val="21"/>
                <w:szCs w:val="21"/>
                <w:highlight w:val="none"/>
              </w:rPr>
              <w:t>4）</w:t>
            </w:r>
          </w:p>
        </w:tc>
        <w:tc>
          <w:tcPr>
            <w:tcW w:w="8676" w:type="dxa"/>
            <w:gridSpan w:val="2"/>
            <w:vAlign w:val="center"/>
          </w:tcPr>
          <w:p w14:paraId="19757295">
            <w:pPr>
              <w:pStyle w:val="19"/>
              <w:spacing w:line="276" w:lineRule="auto"/>
              <w:rPr>
                <w:rFonts w:hint="eastAsia"/>
                <w:b/>
                <w:color w:val="auto"/>
                <w:sz w:val="21"/>
                <w:szCs w:val="21"/>
                <w:highlight w:val="none"/>
              </w:rPr>
            </w:pPr>
            <w:r>
              <w:rPr>
                <w:rFonts w:hint="eastAsia"/>
                <w:bCs/>
                <w:color w:val="auto"/>
                <w:sz w:val="21"/>
                <w:szCs w:val="21"/>
                <w:highlight w:val="none"/>
              </w:rPr>
              <w:t>本项目不组织统一现场踏勘，投标人可自行踏勘。</w:t>
            </w:r>
          </w:p>
        </w:tc>
      </w:tr>
    </w:tbl>
    <w:p w14:paraId="24DF4BCD">
      <w:pPr>
        <w:pStyle w:val="5"/>
        <w:rPr>
          <w:color w:val="auto"/>
          <w:highlight w:val="none"/>
        </w:rPr>
      </w:pPr>
      <w:r>
        <w:rPr>
          <w:color w:val="auto"/>
          <w:sz w:val="21"/>
          <w:szCs w:val="21"/>
          <w:highlight w:val="none"/>
        </w:rPr>
        <w:br w:type="page"/>
      </w:r>
      <w:bookmarkStart w:id="34" w:name="_Toc33095530"/>
      <w:bookmarkStart w:id="35" w:name="_Toc101004082"/>
      <w:bookmarkStart w:id="36" w:name="_Toc141099641"/>
      <w:bookmarkStart w:id="37" w:name="_Toc6844"/>
      <w:r>
        <w:rPr>
          <w:rFonts w:hint="eastAsia"/>
          <w:color w:val="auto"/>
          <w:highlight w:val="none"/>
        </w:rPr>
        <w:t>一、总  则</w:t>
      </w:r>
      <w:bookmarkEnd w:id="34"/>
      <w:bookmarkEnd w:id="35"/>
      <w:bookmarkEnd w:id="36"/>
      <w:bookmarkEnd w:id="37"/>
    </w:p>
    <w:p w14:paraId="256BD00A">
      <w:pPr>
        <w:spacing w:line="360" w:lineRule="auto"/>
        <w:jc w:val="left"/>
        <w:rPr>
          <w:rFonts w:hint="eastAsia" w:ascii="宋体" w:hAnsi="宋体"/>
          <w:color w:val="auto"/>
          <w:sz w:val="24"/>
          <w:highlight w:val="none"/>
        </w:rPr>
      </w:pPr>
      <w:r>
        <w:rPr>
          <w:rFonts w:hint="eastAsia" w:ascii="宋体" w:hAnsi="宋体"/>
          <w:color w:val="auto"/>
          <w:sz w:val="24"/>
          <w:highlight w:val="none"/>
        </w:rPr>
        <w:t>1. 采购人、采购代理机构、项目名称及项目编号，详见招标文件“</w:t>
      </w:r>
      <w:r>
        <w:rPr>
          <w:rFonts w:hint="eastAsia" w:ascii="宋体" w:hAnsi="宋体"/>
          <w:b/>
          <w:color w:val="auto"/>
          <w:sz w:val="24"/>
          <w:highlight w:val="none"/>
        </w:rPr>
        <w:t>投标人须知前表</w:t>
      </w:r>
      <w:r>
        <w:rPr>
          <w:rFonts w:hint="eastAsia" w:ascii="宋体" w:hAnsi="宋体"/>
          <w:color w:val="auto"/>
          <w:sz w:val="24"/>
          <w:highlight w:val="none"/>
        </w:rPr>
        <w:t>”。</w:t>
      </w:r>
    </w:p>
    <w:p w14:paraId="3418DDEF">
      <w:pPr>
        <w:spacing w:line="360" w:lineRule="auto"/>
        <w:jc w:val="left"/>
        <w:rPr>
          <w:rFonts w:hint="eastAsia" w:ascii="宋体" w:hAnsi="宋体"/>
          <w:b/>
          <w:color w:val="auto"/>
          <w:sz w:val="24"/>
          <w:highlight w:val="none"/>
        </w:rPr>
      </w:pPr>
      <w:r>
        <w:rPr>
          <w:rFonts w:hint="eastAsia" w:ascii="宋体" w:hAnsi="宋体"/>
          <w:b/>
          <w:color w:val="auto"/>
          <w:sz w:val="24"/>
          <w:highlight w:val="none"/>
        </w:rPr>
        <w:t>2. 资金来源</w:t>
      </w:r>
    </w:p>
    <w:p w14:paraId="3906EC8C">
      <w:pPr>
        <w:spacing w:line="360" w:lineRule="auto"/>
        <w:jc w:val="left"/>
        <w:rPr>
          <w:rFonts w:hint="eastAsia" w:ascii="宋体" w:hAnsi="宋体"/>
          <w:color w:val="auto"/>
          <w:sz w:val="24"/>
          <w:highlight w:val="none"/>
        </w:rPr>
      </w:pPr>
      <w:r>
        <w:rPr>
          <w:rFonts w:hint="eastAsia" w:ascii="宋体" w:hAnsi="宋体"/>
          <w:color w:val="auto"/>
          <w:sz w:val="24"/>
          <w:highlight w:val="none"/>
        </w:rPr>
        <w:t>2.1财政资金，用于采购“</w:t>
      </w:r>
      <w:r>
        <w:rPr>
          <w:rFonts w:hint="eastAsia" w:ascii="宋体" w:hAnsi="宋体"/>
          <w:b/>
          <w:color w:val="auto"/>
          <w:sz w:val="24"/>
          <w:highlight w:val="none"/>
        </w:rPr>
        <w:t>项目需求及技术要求</w:t>
      </w:r>
      <w:r>
        <w:rPr>
          <w:rFonts w:hint="eastAsia" w:ascii="宋体" w:hAnsi="宋体"/>
          <w:color w:val="auto"/>
          <w:sz w:val="24"/>
          <w:highlight w:val="none"/>
        </w:rPr>
        <w:t>”所列货物。</w:t>
      </w:r>
    </w:p>
    <w:p w14:paraId="59AD7EB7">
      <w:pPr>
        <w:spacing w:line="360" w:lineRule="auto"/>
        <w:jc w:val="left"/>
        <w:rPr>
          <w:rFonts w:hint="eastAsia" w:ascii="宋体" w:hAnsi="宋体"/>
          <w:b/>
          <w:color w:val="auto"/>
          <w:sz w:val="24"/>
          <w:highlight w:val="none"/>
        </w:rPr>
      </w:pPr>
      <w:r>
        <w:rPr>
          <w:rFonts w:hint="eastAsia" w:ascii="宋体" w:hAnsi="宋体"/>
          <w:b/>
          <w:color w:val="auto"/>
          <w:sz w:val="24"/>
          <w:highlight w:val="none"/>
        </w:rPr>
        <w:t>3. 招标范围</w:t>
      </w:r>
    </w:p>
    <w:p w14:paraId="6FE313BC">
      <w:pPr>
        <w:spacing w:line="360" w:lineRule="auto"/>
        <w:jc w:val="left"/>
        <w:rPr>
          <w:rFonts w:hint="eastAsia" w:ascii="宋体" w:hAnsi="宋体"/>
          <w:color w:val="auto"/>
          <w:sz w:val="24"/>
          <w:highlight w:val="none"/>
        </w:rPr>
      </w:pPr>
      <w:r>
        <w:rPr>
          <w:rFonts w:hint="eastAsia" w:ascii="宋体" w:hAnsi="宋体"/>
          <w:color w:val="auto"/>
          <w:sz w:val="24"/>
          <w:highlight w:val="none"/>
        </w:rPr>
        <w:t>3.1 本项目招标范围：见“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75790AA8">
      <w:pPr>
        <w:spacing w:line="360" w:lineRule="auto"/>
        <w:jc w:val="left"/>
        <w:rPr>
          <w:rFonts w:hint="eastAsia" w:ascii="宋体" w:hAnsi="宋体"/>
          <w:color w:val="auto"/>
          <w:sz w:val="24"/>
          <w:highlight w:val="none"/>
        </w:rPr>
      </w:pPr>
      <w:r>
        <w:rPr>
          <w:rFonts w:hint="eastAsia" w:ascii="宋体" w:hAnsi="宋体"/>
          <w:color w:val="auto"/>
          <w:sz w:val="24"/>
          <w:highlight w:val="none"/>
        </w:rPr>
        <w:t>3.2 本项目交货期、交货地点、质量标准、交货方式：见“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3F9AB682">
      <w:pPr>
        <w:spacing w:line="360" w:lineRule="auto"/>
        <w:jc w:val="left"/>
        <w:rPr>
          <w:rFonts w:hint="eastAsia" w:ascii="宋体" w:hAnsi="宋体"/>
          <w:b/>
          <w:color w:val="auto"/>
          <w:sz w:val="24"/>
          <w:highlight w:val="none"/>
        </w:rPr>
      </w:pPr>
      <w:r>
        <w:rPr>
          <w:rFonts w:hint="eastAsia" w:ascii="宋体" w:hAnsi="宋体"/>
          <w:b/>
          <w:color w:val="auto"/>
          <w:sz w:val="24"/>
          <w:highlight w:val="none"/>
        </w:rPr>
        <w:t>★4. 合格的投标人</w:t>
      </w:r>
    </w:p>
    <w:p w14:paraId="2D586D39">
      <w:pPr>
        <w:spacing w:line="360" w:lineRule="auto"/>
        <w:jc w:val="left"/>
        <w:rPr>
          <w:rFonts w:hint="eastAsia" w:ascii="宋体" w:hAnsi="宋体"/>
          <w:color w:val="auto"/>
          <w:sz w:val="24"/>
          <w:highlight w:val="none"/>
        </w:rPr>
      </w:pPr>
      <w:r>
        <w:rPr>
          <w:rFonts w:hint="eastAsia" w:ascii="宋体" w:hAnsi="宋体"/>
          <w:color w:val="auto"/>
          <w:sz w:val="24"/>
          <w:highlight w:val="none"/>
        </w:rPr>
        <w:t>4.1投标人应具备《中华人民共和国政府采购法》第二十二条规定的条件，并提供相关证明材料：内容详见“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3462EEF0">
      <w:pPr>
        <w:spacing w:line="360" w:lineRule="auto"/>
        <w:jc w:val="left"/>
        <w:rPr>
          <w:rFonts w:hint="eastAsia" w:ascii="宋体" w:hAnsi="宋体"/>
          <w:color w:val="auto"/>
          <w:sz w:val="24"/>
          <w:highlight w:val="none"/>
        </w:rPr>
      </w:pPr>
      <w:r>
        <w:rPr>
          <w:rFonts w:hint="eastAsia" w:ascii="宋体" w:hAnsi="宋体"/>
          <w:color w:val="auto"/>
          <w:sz w:val="24"/>
          <w:highlight w:val="none"/>
        </w:rPr>
        <w:t>4.2落实政府采购政策需满足的资格要求：见“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52752EC0">
      <w:pPr>
        <w:spacing w:line="360" w:lineRule="auto"/>
        <w:jc w:val="left"/>
        <w:rPr>
          <w:rFonts w:hint="eastAsia" w:ascii="宋体" w:hAnsi="宋体"/>
          <w:color w:val="auto"/>
          <w:sz w:val="24"/>
          <w:highlight w:val="none"/>
        </w:rPr>
      </w:pPr>
      <w:r>
        <w:rPr>
          <w:rFonts w:ascii="宋体" w:hAnsi="宋体"/>
          <w:color w:val="auto"/>
          <w:sz w:val="24"/>
          <w:highlight w:val="none"/>
        </w:rPr>
        <w:t>4.3</w:t>
      </w:r>
      <w:r>
        <w:rPr>
          <w:rFonts w:hint="eastAsia" w:ascii="宋体" w:hAnsi="宋体"/>
          <w:color w:val="auto"/>
          <w:sz w:val="24"/>
          <w:highlight w:val="none"/>
        </w:rPr>
        <w:t>投标人应符合采购人根据采购项目的特殊要求规定的特定条件，特定条件见“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748F531D">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4</w:t>
      </w:r>
      <w:r>
        <w:rPr>
          <w:rFonts w:hint="eastAsia" w:ascii="宋体" w:hAnsi="宋体"/>
          <w:color w:val="auto"/>
          <w:sz w:val="24"/>
          <w:highlight w:val="none"/>
        </w:rPr>
        <w:t>单位负责人为同一人或者存在直接控股、管理关系的不同供应商，不得参加同一合同项下的政府采购活动。</w:t>
      </w:r>
    </w:p>
    <w:p w14:paraId="397477CC">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5信用记录查询及使用</w:t>
      </w:r>
      <w:r>
        <w:rPr>
          <w:rFonts w:hint="eastAsia" w:ascii="宋体" w:hAnsi="宋体"/>
          <w:color w:val="auto"/>
          <w:sz w:val="24"/>
          <w:highlight w:val="none"/>
        </w:rPr>
        <w:t>。根据《财政部关于在政府采购活动中查询及使用信用记录有关问题的通知》的规定，对列入失信被执行人、重大税收违法失信主体、政府采购严重违法失信行为记录名单及其他不符合《中华人民共和国政府采购法》第二十二条规定条件的供应商，应当拒绝其参与政府采购活动。本项目信用记录查询及使用作如下规定：</w:t>
      </w:r>
    </w:p>
    <w:p w14:paraId="4424951E">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.5.1</w:t>
      </w:r>
      <w:r>
        <w:rPr>
          <w:rFonts w:hint="eastAsia" w:ascii="宋体" w:hAnsi="宋体"/>
          <w:color w:val="auto"/>
          <w:sz w:val="24"/>
          <w:highlight w:val="none"/>
        </w:rPr>
        <w:t>信用信息查询的查询渠道：“信用中国”网站（www.creditchina.gov.cn）及“中国政府采购网”（www.ccgp.gov.cn）。</w:t>
      </w:r>
    </w:p>
    <w:p w14:paraId="4A7968BA">
      <w:pPr>
        <w:spacing w:line="360" w:lineRule="auto"/>
        <w:jc w:val="left"/>
        <w:rPr>
          <w:rFonts w:hint="eastAsia" w:ascii="宋体" w:hAnsi="宋体"/>
          <w:color w:val="auto"/>
          <w:sz w:val="24"/>
          <w:highlight w:val="none"/>
        </w:rPr>
      </w:pPr>
      <w:r>
        <w:rPr>
          <w:rFonts w:ascii="宋体" w:hAnsi="宋体"/>
          <w:color w:val="auto"/>
          <w:sz w:val="24"/>
          <w:highlight w:val="none"/>
        </w:rPr>
        <w:t>4.5.2</w:t>
      </w:r>
      <w:r>
        <w:rPr>
          <w:rFonts w:hint="eastAsia" w:ascii="宋体" w:hAnsi="宋体"/>
          <w:color w:val="auto"/>
          <w:sz w:val="24"/>
          <w:highlight w:val="none"/>
        </w:rPr>
        <w:t>信用信息查询的截止时点：开标前。</w:t>
      </w:r>
    </w:p>
    <w:p w14:paraId="2EB396B1">
      <w:pPr>
        <w:spacing w:line="360" w:lineRule="auto"/>
        <w:jc w:val="left"/>
        <w:rPr>
          <w:rFonts w:hint="eastAsia" w:ascii="宋体" w:hAnsi="宋体"/>
          <w:color w:val="auto"/>
          <w:sz w:val="24"/>
          <w:highlight w:val="none"/>
        </w:rPr>
      </w:pPr>
      <w:r>
        <w:rPr>
          <w:rFonts w:ascii="宋体" w:hAnsi="宋体"/>
          <w:color w:val="auto"/>
          <w:sz w:val="24"/>
          <w:highlight w:val="none"/>
        </w:rPr>
        <w:t>4.5.3</w:t>
      </w:r>
      <w:r>
        <w:rPr>
          <w:rFonts w:hint="eastAsia" w:ascii="宋体" w:hAnsi="宋体"/>
          <w:color w:val="auto"/>
          <w:sz w:val="24"/>
          <w:highlight w:val="none"/>
        </w:rPr>
        <w:t>信用信息查询记录和证据留存的具体方式：采购代理机构将于开标前在“信用中国”网站（www.creditchina.gov.cn）失信被执行人、重大税收违法失信主体及“中国政府采购网”（www.ccgp.gov.cn）政府采购严重违法失信行为信息记录对投标人进行信用信息查询，上述网站信用信息查询结果的网页截图或网页打印稿作为证据留存。</w:t>
      </w:r>
    </w:p>
    <w:p w14:paraId="3AA8C617">
      <w:pPr>
        <w:spacing w:line="360" w:lineRule="auto"/>
        <w:jc w:val="left"/>
        <w:rPr>
          <w:color w:val="auto"/>
          <w:sz w:val="24"/>
          <w:highlight w:val="none"/>
        </w:rPr>
      </w:pPr>
      <w:r>
        <w:rPr>
          <w:rFonts w:hint="eastAsia" w:ascii="宋体" w:hAnsi="宋体"/>
          <w:color w:val="auto"/>
          <w:sz w:val="24"/>
          <w:highlight w:val="none"/>
        </w:rPr>
        <w:t>4</w:t>
      </w:r>
      <w:r>
        <w:rPr>
          <w:rFonts w:ascii="宋体" w:hAnsi="宋体"/>
          <w:color w:val="auto"/>
          <w:sz w:val="24"/>
          <w:highlight w:val="none"/>
        </w:rPr>
        <w:t>.5.4</w:t>
      </w:r>
      <w:r>
        <w:rPr>
          <w:rFonts w:hint="eastAsia" w:ascii="宋体" w:hAnsi="宋体"/>
          <w:color w:val="auto"/>
          <w:sz w:val="24"/>
          <w:highlight w:val="none"/>
        </w:rPr>
        <w:t>信用信息的使用规则：投标人若被列入“信用中国”网站（www.creditchina.gov.cn）失信被执行人、重大税收违法失信主体及“中国政府采购网”（www.ccgp.gov.cn）政府采购严重违法失信行为信息记录之一</w:t>
      </w:r>
      <w:r>
        <w:rPr>
          <w:rFonts w:hint="eastAsia" w:ascii="宋体" w:hAnsi="宋体"/>
          <w:color w:val="auto"/>
          <w:sz w:val="24"/>
          <w:highlight w:val="none"/>
          <w:lang w:val="en-US" w:eastAsia="zh-CN"/>
        </w:rPr>
        <w:t>且</w:t>
      </w:r>
      <w:r>
        <w:rPr>
          <w:rFonts w:hint="eastAsia" w:ascii="宋体" w:hAnsi="宋体"/>
          <w:color w:val="auto"/>
          <w:sz w:val="24"/>
          <w:highlight w:val="none"/>
        </w:rPr>
        <w:t>处罚期限尚未届满的，资格审查不合格，不得参与政府采购活动。</w:t>
      </w:r>
    </w:p>
    <w:p w14:paraId="77C42643">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6</w:t>
      </w:r>
      <w:r>
        <w:rPr>
          <w:rFonts w:hint="eastAsia" w:ascii="宋体" w:hAnsi="宋体"/>
          <w:color w:val="auto"/>
          <w:sz w:val="24"/>
          <w:highlight w:val="none"/>
        </w:rPr>
        <w:t>“</w:t>
      </w:r>
      <w:r>
        <w:rPr>
          <w:rFonts w:hint="eastAsia" w:ascii="宋体" w:hAnsi="宋体"/>
          <w:b/>
          <w:color w:val="auto"/>
          <w:sz w:val="24"/>
          <w:highlight w:val="none"/>
        </w:rPr>
        <w:t>投标人须知前附表</w:t>
      </w:r>
      <w:r>
        <w:rPr>
          <w:rFonts w:hint="eastAsia" w:ascii="宋体" w:hAnsi="宋体"/>
          <w:color w:val="auto"/>
          <w:sz w:val="24"/>
          <w:highlight w:val="none"/>
        </w:rPr>
        <w:t>”规定接受联合体投标的，除应符合本章第4.1-4.</w:t>
      </w:r>
      <w:r>
        <w:rPr>
          <w:rFonts w:ascii="宋体" w:hAnsi="宋体"/>
          <w:color w:val="auto"/>
          <w:sz w:val="24"/>
          <w:highlight w:val="none"/>
        </w:rPr>
        <w:t>5</w:t>
      </w:r>
      <w:r>
        <w:rPr>
          <w:rFonts w:hint="eastAsia" w:ascii="宋体" w:hAnsi="宋体"/>
          <w:color w:val="auto"/>
          <w:sz w:val="24"/>
          <w:highlight w:val="none"/>
        </w:rPr>
        <w:t>项和“</w:t>
      </w:r>
      <w:r>
        <w:rPr>
          <w:rFonts w:hint="eastAsia" w:ascii="宋体" w:hAnsi="宋体"/>
          <w:b/>
          <w:color w:val="auto"/>
          <w:sz w:val="24"/>
          <w:highlight w:val="none"/>
        </w:rPr>
        <w:t>投标人须知前附表</w:t>
      </w:r>
      <w:r>
        <w:rPr>
          <w:rFonts w:hint="eastAsia" w:ascii="宋体" w:hAnsi="宋体"/>
          <w:color w:val="auto"/>
          <w:sz w:val="24"/>
          <w:highlight w:val="none"/>
        </w:rPr>
        <w:t>”的要求外，还应遵守以下规定：</w:t>
      </w:r>
    </w:p>
    <w:p w14:paraId="3AFCC43D">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(1)联合体中有同类资质的投标人按照联合体分工承担相同工作的，应当按照资质等级较低的投标人确定资质等级；</w:t>
      </w:r>
    </w:p>
    <w:p w14:paraId="0E012138">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(2)联合体各方之间应当签订共同投标协议，明确约定联合体各方承担的工作和相应的责任；</w:t>
      </w:r>
    </w:p>
    <w:p w14:paraId="5C6418A4">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(3)以联合体形式参加政府采购活动的，联合体各方不得再单独参加或者与其他投标人另外组成联合体参加同一项目包下的政府采购活动。</w:t>
      </w:r>
    </w:p>
    <w:p w14:paraId="0712275E">
      <w:pPr>
        <w:spacing w:line="360" w:lineRule="auto"/>
        <w:jc w:val="left"/>
        <w:rPr>
          <w:rFonts w:hint="eastAsia" w:ascii="宋体" w:hAnsi="宋体"/>
          <w:b/>
          <w:color w:val="auto"/>
          <w:sz w:val="24"/>
          <w:highlight w:val="none"/>
        </w:rPr>
      </w:pPr>
      <w:r>
        <w:rPr>
          <w:rFonts w:hint="eastAsia" w:ascii="宋体" w:hAnsi="宋体"/>
          <w:color w:val="auto"/>
          <w:sz w:val="24"/>
          <w:highlight w:val="none"/>
        </w:rPr>
        <w:t>4.</w:t>
      </w:r>
      <w:r>
        <w:rPr>
          <w:rFonts w:ascii="宋体" w:hAnsi="宋体"/>
          <w:color w:val="auto"/>
          <w:sz w:val="24"/>
          <w:highlight w:val="none"/>
        </w:rPr>
        <w:t xml:space="preserve">7 </w:t>
      </w:r>
      <w:r>
        <w:rPr>
          <w:rFonts w:hint="eastAsia" w:ascii="宋体" w:hAnsi="宋体"/>
          <w:color w:val="auto"/>
          <w:sz w:val="24"/>
          <w:highlight w:val="none"/>
        </w:rPr>
        <w:t>符合上述条件的投标人应承担投标及履约中应承担的全部责任与义务。</w:t>
      </w:r>
      <w:r>
        <w:rPr>
          <w:rFonts w:hint="eastAsia" w:ascii="宋体" w:hAnsi="宋体"/>
          <w:color w:val="auto"/>
          <w:sz w:val="24"/>
          <w:highlight w:val="none"/>
        </w:rPr>
        <w:cr/>
      </w:r>
      <w:r>
        <w:rPr>
          <w:rFonts w:hint="eastAsia" w:ascii="宋体" w:hAnsi="宋体"/>
          <w:b/>
          <w:color w:val="auto"/>
          <w:sz w:val="24"/>
          <w:highlight w:val="none"/>
        </w:rPr>
        <w:t>5.投标费用</w:t>
      </w:r>
    </w:p>
    <w:p w14:paraId="5E7D082E">
      <w:pPr>
        <w:pStyle w:val="19"/>
        <w:rPr>
          <w:rFonts w:hint="eastAsia"/>
          <w:color w:val="auto"/>
          <w:highlight w:val="none"/>
        </w:rPr>
      </w:pPr>
      <w:r>
        <w:rPr>
          <w:rFonts w:hint="eastAsia"/>
          <w:color w:val="auto"/>
          <w:highlight w:val="none"/>
        </w:rPr>
        <w:t>5.1不论投标结果如何，投标人均应自行承担</w:t>
      </w:r>
      <w:r>
        <w:rPr>
          <w:color w:val="auto"/>
          <w:highlight w:val="none"/>
        </w:rPr>
        <w:t>所有与准备和参加投标活动有关的全部费用</w:t>
      </w:r>
      <w:r>
        <w:rPr>
          <w:rFonts w:hint="eastAsia"/>
          <w:color w:val="auto"/>
          <w:highlight w:val="none"/>
        </w:rPr>
        <w:t>。</w:t>
      </w:r>
    </w:p>
    <w:p w14:paraId="7DAFAE0A">
      <w:pPr>
        <w:spacing w:line="360" w:lineRule="auto"/>
        <w:jc w:val="left"/>
        <w:rPr>
          <w:rFonts w:hint="eastAsia" w:ascii="宋体" w:hAnsi="宋体"/>
          <w:b/>
          <w:color w:val="auto"/>
          <w:sz w:val="24"/>
          <w:highlight w:val="none"/>
        </w:rPr>
      </w:pPr>
      <w:r>
        <w:rPr>
          <w:rFonts w:hint="eastAsia" w:ascii="宋体" w:hAnsi="宋体"/>
          <w:b/>
          <w:color w:val="auto"/>
          <w:sz w:val="24"/>
          <w:highlight w:val="none"/>
        </w:rPr>
        <w:t>6.询问</w:t>
      </w:r>
    </w:p>
    <w:p w14:paraId="57B4B3F6">
      <w:pPr>
        <w:pStyle w:val="19"/>
        <w:rPr>
          <w:rFonts w:hint="eastAsia"/>
          <w:color w:val="auto"/>
          <w:highlight w:val="none"/>
        </w:rPr>
      </w:pPr>
      <w:r>
        <w:rPr>
          <w:rFonts w:hint="eastAsia"/>
          <w:color w:val="auto"/>
          <w:highlight w:val="none"/>
        </w:rPr>
        <w:t>6</w:t>
      </w:r>
      <w:r>
        <w:rPr>
          <w:color w:val="auto"/>
          <w:highlight w:val="none"/>
        </w:rPr>
        <w:t>.1</w:t>
      </w:r>
      <w:r>
        <w:rPr>
          <w:rFonts w:hint="eastAsia"/>
          <w:color w:val="auto"/>
          <w:highlight w:val="none"/>
        </w:rPr>
        <w:t>投标人可向采购代理机构就招标文件的内容依法提出询问，采购代理机构将在收到询问后 3 个工作日内作出答复。</w:t>
      </w:r>
    </w:p>
    <w:p w14:paraId="4A68C7CC">
      <w:pPr>
        <w:spacing w:line="360" w:lineRule="auto"/>
        <w:jc w:val="left"/>
        <w:rPr>
          <w:rFonts w:hint="eastAsia" w:ascii="宋体" w:hAnsi="宋体"/>
          <w:b/>
          <w:color w:val="auto"/>
          <w:sz w:val="24"/>
          <w:highlight w:val="none"/>
        </w:rPr>
      </w:pPr>
      <w:r>
        <w:rPr>
          <w:rFonts w:ascii="宋体" w:hAnsi="宋体"/>
          <w:b/>
          <w:color w:val="auto"/>
          <w:sz w:val="24"/>
          <w:highlight w:val="none"/>
        </w:rPr>
        <w:t>7.质疑</w:t>
      </w:r>
    </w:p>
    <w:p w14:paraId="30C5B860">
      <w:pPr>
        <w:spacing w:line="360" w:lineRule="auto"/>
        <w:jc w:val="left"/>
        <w:rPr>
          <w:rFonts w:hint="eastAsia" w:ascii="宋体" w:hAnsi="宋体"/>
          <w:color w:val="auto"/>
          <w:sz w:val="24"/>
          <w:highlight w:val="none"/>
        </w:rPr>
      </w:pPr>
      <w:r>
        <w:rPr>
          <w:rFonts w:ascii="宋体" w:hAnsi="宋体"/>
          <w:color w:val="auto"/>
          <w:sz w:val="24"/>
          <w:highlight w:val="none"/>
        </w:rPr>
        <w:t xml:space="preserve">7.1 </w:t>
      </w:r>
      <w:r>
        <w:rPr>
          <w:rFonts w:hint="eastAsia" w:ascii="宋体" w:hAnsi="宋体"/>
          <w:color w:val="auto"/>
          <w:sz w:val="24"/>
          <w:highlight w:val="none"/>
        </w:rPr>
        <w:t>投标人</w:t>
      </w:r>
      <w:r>
        <w:rPr>
          <w:rFonts w:ascii="宋体" w:hAnsi="宋体"/>
          <w:color w:val="auto"/>
          <w:sz w:val="24"/>
          <w:highlight w:val="none"/>
        </w:rPr>
        <w:t>认为招标文件、招标过程和中标结果使自己的权益受到损害的，应当在知道或者应知其权益受到损害之日起</w:t>
      </w:r>
      <w:r>
        <w:rPr>
          <w:rFonts w:hint="eastAsia" w:ascii="宋体" w:hAnsi="宋体"/>
          <w:color w:val="auto"/>
          <w:sz w:val="24"/>
          <w:highlight w:val="none"/>
        </w:rPr>
        <w:t>7</w:t>
      </w:r>
      <w:r>
        <w:rPr>
          <w:rFonts w:ascii="宋体" w:hAnsi="宋体"/>
          <w:color w:val="auto"/>
          <w:sz w:val="24"/>
          <w:highlight w:val="none"/>
        </w:rPr>
        <w:t>个工作日内，以书面形式向</w:t>
      </w:r>
      <w:r>
        <w:rPr>
          <w:rFonts w:hint="eastAsia" w:ascii="宋体" w:hAnsi="宋体"/>
          <w:color w:val="auto"/>
          <w:sz w:val="24"/>
          <w:highlight w:val="none"/>
        </w:rPr>
        <w:t>采购代理机构</w:t>
      </w:r>
      <w:r>
        <w:rPr>
          <w:rFonts w:ascii="宋体" w:hAnsi="宋体"/>
          <w:color w:val="auto"/>
          <w:sz w:val="24"/>
          <w:highlight w:val="none"/>
        </w:rPr>
        <w:t>一次性提出针对同一采购程序环节的质疑。质疑内容不得含有虚假、恶意成分。当事人对自己提出的主张，有责任提供证据，提出质疑时</w:t>
      </w:r>
      <w:r>
        <w:rPr>
          <w:rFonts w:hint="eastAsia" w:ascii="宋体" w:hAnsi="宋体"/>
          <w:color w:val="auto"/>
          <w:sz w:val="24"/>
          <w:highlight w:val="none"/>
        </w:rPr>
        <w:t>应</w:t>
      </w:r>
      <w:r>
        <w:rPr>
          <w:rFonts w:ascii="宋体" w:hAnsi="宋体"/>
          <w:color w:val="auto"/>
          <w:sz w:val="24"/>
          <w:highlight w:val="none"/>
        </w:rPr>
        <w:t>同时提交相关证据材料和注明事实的确切来源。</w:t>
      </w:r>
    </w:p>
    <w:p w14:paraId="2C3EF77E">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.2供应商应知其权益受到损害之日，是指：</w:t>
      </w:r>
    </w:p>
    <w:p w14:paraId="06A97498">
      <w:pPr>
        <w:spacing w:line="360" w:lineRule="auto"/>
        <w:jc w:val="left"/>
        <w:rPr>
          <w:rFonts w:hint="eastAsia" w:ascii="宋体" w:hAnsi="宋体"/>
          <w:color w:val="auto"/>
          <w:sz w:val="24"/>
          <w:highlight w:val="none"/>
        </w:rPr>
      </w:pPr>
      <w:r>
        <w:rPr>
          <w:rFonts w:hint="eastAsia" w:ascii="宋体" w:hAnsi="宋体"/>
          <w:color w:val="auto"/>
          <w:sz w:val="24"/>
          <w:highlight w:val="none"/>
        </w:rPr>
        <w:t>（1）对可以质疑的招标文件提出质疑的，为公告期限届满之日；</w:t>
      </w:r>
    </w:p>
    <w:p w14:paraId="2DEA9A33">
      <w:pPr>
        <w:spacing w:line="360" w:lineRule="auto"/>
        <w:jc w:val="left"/>
        <w:rPr>
          <w:rFonts w:hint="eastAsia" w:ascii="宋体" w:hAnsi="宋体"/>
          <w:color w:val="auto"/>
          <w:sz w:val="24"/>
          <w:highlight w:val="none"/>
        </w:rPr>
      </w:pPr>
      <w:r>
        <w:rPr>
          <w:rFonts w:hint="eastAsia" w:ascii="宋体" w:hAnsi="宋体"/>
          <w:color w:val="auto"/>
          <w:sz w:val="24"/>
          <w:highlight w:val="none"/>
        </w:rPr>
        <w:t>（2）对采购过程提出质疑的，为各采购程序环节结束之日；</w:t>
      </w:r>
    </w:p>
    <w:p w14:paraId="1C2A6C19">
      <w:pPr>
        <w:spacing w:line="360" w:lineRule="auto"/>
        <w:jc w:val="left"/>
        <w:rPr>
          <w:rFonts w:hint="eastAsia" w:ascii="宋体" w:hAnsi="宋体"/>
          <w:color w:val="auto"/>
          <w:sz w:val="24"/>
          <w:highlight w:val="none"/>
        </w:rPr>
      </w:pPr>
      <w:r>
        <w:rPr>
          <w:rFonts w:hint="eastAsia" w:ascii="宋体" w:hAnsi="宋体"/>
          <w:color w:val="auto"/>
          <w:sz w:val="24"/>
          <w:highlight w:val="none"/>
        </w:rPr>
        <w:t>（3）对中标结果提出质疑的，为中标结果公告期限届满之日。</w:t>
      </w:r>
    </w:p>
    <w:p w14:paraId="2281BF32">
      <w:pPr>
        <w:spacing w:line="360" w:lineRule="auto"/>
        <w:jc w:val="left"/>
        <w:rPr>
          <w:rFonts w:hint="eastAsia" w:ascii="宋体" w:hAnsi="宋体"/>
          <w:color w:val="auto"/>
          <w:sz w:val="24"/>
          <w:highlight w:val="none"/>
        </w:rPr>
      </w:pPr>
      <w:r>
        <w:rPr>
          <w:rFonts w:ascii="宋体" w:hAnsi="宋体"/>
          <w:b/>
          <w:bCs/>
          <w:color w:val="auto"/>
          <w:sz w:val="24"/>
          <w:highlight w:val="none"/>
          <w:u w:val="single"/>
        </w:rPr>
        <w:t>7</w:t>
      </w:r>
      <w:r>
        <w:rPr>
          <w:rFonts w:hint="eastAsia" w:ascii="宋体" w:hAnsi="宋体"/>
          <w:b/>
          <w:bCs/>
          <w:color w:val="auto"/>
          <w:sz w:val="24"/>
          <w:highlight w:val="none"/>
          <w:u w:val="single"/>
        </w:rPr>
        <w:t>.</w:t>
      </w:r>
      <w:r>
        <w:rPr>
          <w:rFonts w:ascii="宋体" w:hAnsi="宋体"/>
          <w:b/>
          <w:bCs/>
          <w:color w:val="auto"/>
          <w:sz w:val="24"/>
          <w:highlight w:val="none"/>
          <w:u w:val="single"/>
        </w:rPr>
        <w:t>3</w:t>
      </w:r>
      <w:r>
        <w:rPr>
          <w:rFonts w:hint="eastAsia" w:ascii="宋体" w:hAnsi="宋体"/>
          <w:b/>
          <w:bCs/>
          <w:color w:val="auto"/>
          <w:sz w:val="24"/>
          <w:highlight w:val="none"/>
          <w:u w:val="single"/>
        </w:rPr>
        <w:t>投标人提出质疑应符合</w:t>
      </w:r>
      <w:r>
        <w:rPr>
          <w:rFonts w:ascii="宋体" w:hAnsi="宋体"/>
          <w:b/>
          <w:bCs/>
          <w:color w:val="auto"/>
          <w:sz w:val="24"/>
          <w:highlight w:val="none"/>
          <w:u w:val="single"/>
        </w:rPr>
        <w:t>中华人民共和国财政部第94号令</w:t>
      </w:r>
      <w:r>
        <w:rPr>
          <w:rFonts w:hint="eastAsia" w:ascii="宋体" w:hAnsi="宋体"/>
          <w:b/>
          <w:bCs/>
          <w:color w:val="auto"/>
          <w:sz w:val="24"/>
          <w:highlight w:val="none"/>
          <w:u w:val="single"/>
        </w:rPr>
        <w:t>《政府采购质疑和投诉办法》的规定。提出质疑应当提交质疑函和必要的证明材料。质疑函应当包括下列内容：</w:t>
      </w:r>
    </w:p>
    <w:p w14:paraId="669098E9">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（一）投标人名称、地址、邮编、联系人及联系电话；</w:t>
      </w:r>
    </w:p>
    <w:p w14:paraId="544701E1">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（二）质疑项目的名称、编号；</w:t>
      </w:r>
    </w:p>
    <w:p w14:paraId="431FE968">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（三）具体、明确的质疑事项和与质疑事项相关的请求；</w:t>
      </w:r>
    </w:p>
    <w:p w14:paraId="3A4A1E5D">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（四）事实依据；</w:t>
      </w:r>
    </w:p>
    <w:p w14:paraId="487B989F">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（五）必要的法律依据；</w:t>
      </w:r>
    </w:p>
    <w:p w14:paraId="489AE680">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（六）提出质疑的日期。</w:t>
      </w:r>
    </w:p>
    <w:p w14:paraId="79899510">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.4</w:t>
      </w:r>
      <w:r>
        <w:rPr>
          <w:rFonts w:ascii="宋体" w:hAnsi="宋体"/>
          <w:color w:val="auto"/>
          <w:sz w:val="24"/>
          <w:highlight w:val="none"/>
        </w:rPr>
        <w:t>质疑函应当由投标人的法定代表人、主要负责人，或者其授权代表签字或者盖章，并加盖公章</w:t>
      </w:r>
      <w:r>
        <w:rPr>
          <w:rFonts w:hint="eastAsia" w:ascii="宋体" w:hAnsi="宋体"/>
          <w:color w:val="auto"/>
          <w:sz w:val="24"/>
          <w:highlight w:val="none"/>
        </w:rPr>
        <w:t>。</w:t>
      </w:r>
      <w:r>
        <w:rPr>
          <w:rFonts w:ascii="宋体" w:hAnsi="宋体"/>
          <w:color w:val="auto"/>
          <w:sz w:val="24"/>
          <w:highlight w:val="none"/>
        </w:rPr>
        <w:t>委托代理人进行质疑</w:t>
      </w:r>
      <w:r>
        <w:rPr>
          <w:rFonts w:hint="eastAsia" w:ascii="宋体" w:hAnsi="宋体"/>
          <w:color w:val="auto"/>
          <w:sz w:val="24"/>
          <w:highlight w:val="none"/>
        </w:rPr>
        <w:t>的，</w:t>
      </w:r>
      <w:r>
        <w:rPr>
          <w:rFonts w:ascii="宋体" w:hAnsi="宋体"/>
          <w:color w:val="auto"/>
          <w:sz w:val="24"/>
          <w:highlight w:val="none"/>
        </w:rPr>
        <w:t>应当提交</w:t>
      </w:r>
      <w:r>
        <w:rPr>
          <w:rFonts w:hint="eastAsia" w:ascii="宋体" w:hAnsi="宋体"/>
          <w:color w:val="auto"/>
          <w:sz w:val="24"/>
          <w:highlight w:val="none"/>
        </w:rPr>
        <w:t>投标人</w:t>
      </w:r>
      <w:r>
        <w:rPr>
          <w:rFonts w:ascii="宋体" w:hAnsi="宋体"/>
          <w:color w:val="auto"/>
          <w:sz w:val="24"/>
          <w:highlight w:val="none"/>
        </w:rPr>
        <w:t>的授权委托书。授权委托书应当载明代理人的姓名或者名称、代理事项、具体权限、期限和相关事项。</w:t>
      </w:r>
      <w:r>
        <w:rPr>
          <w:rFonts w:hint="eastAsia" w:ascii="宋体" w:hAnsi="宋体"/>
          <w:color w:val="auto"/>
          <w:sz w:val="24"/>
          <w:highlight w:val="none"/>
        </w:rPr>
        <w:t>授权委托书</w:t>
      </w:r>
      <w:r>
        <w:rPr>
          <w:rFonts w:ascii="宋体" w:hAnsi="宋体"/>
          <w:color w:val="auto"/>
          <w:sz w:val="24"/>
          <w:highlight w:val="none"/>
        </w:rPr>
        <w:t>应当由法定代表人、主要负责人签字或者盖章，并加盖公章。</w:t>
      </w:r>
    </w:p>
    <w:p w14:paraId="2E287B7A">
      <w:pPr>
        <w:spacing w:line="360" w:lineRule="auto"/>
        <w:jc w:val="left"/>
        <w:rPr>
          <w:rFonts w:hint="eastAsia" w:ascii="宋体" w:hAnsi="宋体"/>
          <w:color w:val="auto"/>
          <w:sz w:val="24"/>
          <w:highlight w:val="none"/>
        </w:rPr>
      </w:pPr>
      <w:r>
        <w:rPr>
          <w:rFonts w:ascii="宋体" w:hAnsi="宋体"/>
          <w:color w:val="auto"/>
          <w:sz w:val="24"/>
          <w:highlight w:val="none"/>
        </w:rPr>
        <w:t>接收质疑函的方式</w:t>
      </w:r>
      <w:r>
        <w:rPr>
          <w:rFonts w:hint="eastAsia" w:ascii="宋体" w:hAnsi="宋体"/>
          <w:color w:val="auto"/>
          <w:sz w:val="24"/>
          <w:highlight w:val="none"/>
        </w:rPr>
        <w:t>：以书面形式递交</w:t>
      </w:r>
      <w:r>
        <w:rPr>
          <w:rFonts w:ascii="宋体" w:hAnsi="宋体"/>
          <w:color w:val="auto"/>
          <w:sz w:val="24"/>
          <w:highlight w:val="none"/>
        </w:rPr>
        <w:t>由法定代表人、主要负责人签字或者盖章，并加盖公章的质疑函</w:t>
      </w:r>
      <w:r>
        <w:rPr>
          <w:rFonts w:hint="eastAsia" w:ascii="宋体" w:hAnsi="宋体"/>
          <w:color w:val="auto"/>
          <w:sz w:val="24"/>
          <w:highlight w:val="none"/>
        </w:rPr>
        <w:t>原件</w:t>
      </w:r>
      <w:r>
        <w:rPr>
          <w:rFonts w:ascii="宋体" w:hAnsi="宋体"/>
          <w:color w:val="auto"/>
          <w:sz w:val="24"/>
          <w:highlight w:val="none"/>
        </w:rPr>
        <w:t>和</w:t>
      </w:r>
      <w:r>
        <w:rPr>
          <w:rFonts w:hint="eastAsia" w:ascii="宋体" w:hAnsi="宋体"/>
          <w:color w:val="auto"/>
          <w:sz w:val="24"/>
          <w:highlight w:val="none"/>
        </w:rPr>
        <w:t>必要的证明材料（包含加盖公章的营业执照复印件、法定代表人身份证明书原件、授权委托书原件）。</w:t>
      </w:r>
    </w:p>
    <w:p w14:paraId="6215CA1D">
      <w:pPr>
        <w:spacing w:line="360" w:lineRule="auto"/>
        <w:jc w:val="left"/>
        <w:rPr>
          <w:rFonts w:hint="eastAsia" w:ascii="宋体" w:hAnsi="宋体"/>
          <w:color w:val="auto"/>
          <w:sz w:val="24"/>
          <w:highlight w:val="none"/>
        </w:rPr>
      </w:pPr>
      <w:r>
        <w:rPr>
          <w:rFonts w:ascii="宋体" w:hAnsi="宋体"/>
          <w:color w:val="auto"/>
          <w:sz w:val="24"/>
          <w:highlight w:val="none"/>
        </w:rPr>
        <w:t>联系部门</w:t>
      </w:r>
      <w:r>
        <w:rPr>
          <w:rFonts w:hint="eastAsia" w:ascii="宋体" w:hAnsi="宋体"/>
          <w:color w:val="auto"/>
          <w:sz w:val="24"/>
          <w:highlight w:val="none"/>
        </w:rPr>
        <w:t>：招标九部</w:t>
      </w:r>
    </w:p>
    <w:p w14:paraId="78F7AFB8">
      <w:pPr>
        <w:spacing w:line="360" w:lineRule="auto"/>
        <w:jc w:val="left"/>
        <w:rPr>
          <w:rFonts w:hint="eastAsia" w:ascii="宋体" w:hAnsi="宋体"/>
          <w:color w:val="auto"/>
          <w:sz w:val="24"/>
          <w:highlight w:val="none"/>
        </w:rPr>
      </w:pPr>
      <w:r>
        <w:rPr>
          <w:rFonts w:ascii="宋体" w:hAnsi="宋体"/>
          <w:color w:val="auto"/>
          <w:sz w:val="24"/>
          <w:highlight w:val="none"/>
        </w:rPr>
        <w:t>联系电话</w:t>
      </w:r>
      <w:r>
        <w:rPr>
          <w:rFonts w:hint="eastAsia" w:ascii="宋体" w:hAnsi="宋体"/>
          <w:color w:val="auto"/>
          <w:sz w:val="24"/>
          <w:highlight w:val="none"/>
        </w:rPr>
        <w:t>：0871-65</w:t>
      </w:r>
      <w:r>
        <w:rPr>
          <w:rFonts w:ascii="宋体" w:hAnsi="宋体"/>
          <w:color w:val="auto"/>
          <w:sz w:val="24"/>
          <w:highlight w:val="none"/>
        </w:rPr>
        <w:t>425389</w:t>
      </w:r>
    </w:p>
    <w:p w14:paraId="511D2958">
      <w:pPr>
        <w:spacing w:line="360" w:lineRule="auto"/>
        <w:jc w:val="left"/>
        <w:rPr>
          <w:rFonts w:hint="eastAsia" w:ascii="宋体" w:hAnsi="宋体"/>
          <w:color w:val="auto"/>
          <w:sz w:val="24"/>
          <w:highlight w:val="none"/>
        </w:rPr>
      </w:pPr>
      <w:r>
        <w:rPr>
          <w:rFonts w:ascii="宋体" w:hAnsi="宋体"/>
          <w:color w:val="auto"/>
          <w:sz w:val="24"/>
          <w:highlight w:val="none"/>
        </w:rPr>
        <w:t>通讯地址</w:t>
      </w:r>
      <w:r>
        <w:rPr>
          <w:rFonts w:hint="eastAsia" w:ascii="宋体" w:hAnsi="宋体"/>
          <w:color w:val="auto"/>
          <w:sz w:val="24"/>
          <w:highlight w:val="none"/>
        </w:rPr>
        <w:t>：云南省昆明市人民西路328号办公楼41</w:t>
      </w:r>
      <w:r>
        <w:rPr>
          <w:rFonts w:ascii="宋体" w:hAnsi="宋体"/>
          <w:color w:val="auto"/>
          <w:sz w:val="24"/>
          <w:highlight w:val="none"/>
        </w:rPr>
        <w:t>7</w:t>
      </w:r>
      <w:r>
        <w:rPr>
          <w:rFonts w:hint="eastAsia" w:ascii="宋体" w:hAnsi="宋体"/>
          <w:color w:val="auto"/>
          <w:sz w:val="24"/>
          <w:highlight w:val="none"/>
        </w:rPr>
        <w:t>室</w:t>
      </w:r>
    </w:p>
    <w:p w14:paraId="66C7E66A">
      <w:pPr>
        <w:spacing w:line="360" w:lineRule="auto"/>
        <w:jc w:val="left"/>
        <w:rPr>
          <w:rFonts w:hint="eastAsia" w:ascii="宋体" w:hAnsi="宋体"/>
          <w:bCs/>
          <w:color w:val="auto"/>
          <w:sz w:val="24"/>
          <w:highlight w:val="none"/>
        </w:rPr>
      </w:pPr>
      <w:r>
        <w:rPr>
          <w:rFonts w:ascii="宋体" w:hAnsi="宋体"/>
          <w:color w:val="auto"/>
          <w:sz w:val="24"/>
          <w:highlight w:val="none"/>
        </w:rPr>
        <w:t>7</w:t>
      </w:r>
      <w:r>
        <w:rPr>
          <w:rFonts w:hint="eastAsia" w:ascii="宋体" w:hAnsi="宋体"/>
          <w:color w:val="auto"/>
          <w:sz w:val="24"/>
          <w:highlight w:val="none"/>
        </w:rPr>
        <w:t>.</w:t>
      </w:r>
      <w:r>
        <w:rPr>
          <w:rFonts w:ascii="宋体" w:hAnsi="宋体"/>
          <w:color w:val="auto"/>
          <w:sz w:val="24"/>
          <w:highlight w:val="none"/>
        </w:rPr>
        <w:t>5采购代理机构将在收到</w:t>
      </w:r>
      <w:r>
        <w:rPr>
          <w:rFonts w:hint="eastAsia" w:ascii="宋体" w:hAnsi="宋体"/>
          <w:color w:val="auto"/>
          <w:sz w:val="24"/>
          <w:highlight w:val="none"/>
        </w:rPr>
        <w:t>投标人</w:t>
      </w:r>
      <w:r>
        <w:rPr>
          <w:rFonts w:ascii="宋体" w:hAnsi="宋体"/>
          <w:color w:val="auto"/>
          <w:sz w:val="24"/>
          <w:highlight w:val="none"/>
        </w:rPr>
        <w:t>的质疑函后</w:t>
      </w:r>
      <w:r>
        <w:rPr>
          <w:rFonts w:hint="eastAsia" w:ascii="宋体" w:hAnsi="宋体"/>
          <w:color w:val="auto"/>
          <w:sz w:val="24"/>
          <w:highlight w:val="none"/>
        </w:rPr>
        <w:t>7</w:t>
      </w:r>
      <w:r>
        <w:rPr>
          <w:rFonts w:ascii="宋体" w:hAnsi="宋体"/>
          <w:color w:val="auto"/>
          <w:sz w:val="24"/>
          <w:highlight w:val="none"/>
        </w:rPr>
        <w:t>个工作日内</w:t>
      </w:r>
      <w:r>
        <w:rPr>
          <w:rFonts w:hint="eastAsia" w:ascii="宋体" w:hAnsi="宋体"/>
          <w:color w:val="auto"/>
          <w:sz w:val="24"/>
          <w:highlight w:val="none"/>
        </w:rPr>
        <w:t>作</w:t>
      </w:r>
      <w:r>
        <w:rPr>
          <w:rFonts w:ascii="宋体" w:hAnsi="宋体"/>
          <w:color w:val="auto"/>
          <w:sz w:val="24"/>
          <w:highlight w:val="none"/>
        </w:rPr>
        <w:t>出答复，</w:t>
      </w:r>
      <w:r>
        <w:rPr>
          <w:rFonts w:hint="eastAsia" w:ascii="宋体" w:hAnsi="宋体"/>
          <w:color w:val="auto"/>
          <w:sz w:val="24"/>
          <w:highlight w:val="none"/>
        </w:rPr>
        <w:t>并以书面形式通知质疑供应商和其他有关供应商。</w:t>
      </w:r>
    </w:p>
    <w:p w14:paraId="1DDF5B5C">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w:t>
      </w:r>
      <w:r>
        <w:rPr>
          <w:rFonts w:ascii="宋体" w:hAnsi="宋体"/>
          <w:color w:val="auto"/>
          <w:sz w:val="24"/>
          <w:highlight w:val="none"/>
        </w:rPr>
        <w:t>6</w:t>
      </w:r>
      <w:r>
        <w:rPr>
          <w:rFonts w:hint="eastAsia" w:ascii="宋体" w:hAnsi="宋体"/>
          <w:color w:val="auto"/>
          <w:sz w:val="24"/>
          <w:highlight w:val="none"/>
        </w:rPr>
        <w:t>参与政府采购活动的投标人对评审过程或者中标结果提出质疑的，采购代理机构可以组织原评标委员会协助答复质疑。质疑答复导致中标结果改变的，采购代理机构应当将有关情况书面报告本级财政部门。</w:t>
      </w:r>
    </w:p>
    <w:p w14:paraId="1CC08CA6">
      <w:pPr>
        <w:pStyle w:val="19"/>
        <w:rPr>
          <w:rFonts w:hint="eastAsia"/>
          <w:b/>
          <w:color w:val="auto"/>
          <w:highlight w:val="none"/>
        </w:rPr>
      </w:pPr>
      <w:bookmarkStart w:id="38" w:name="_Toc321836357"/>
      <w:r>
        <w:rPr>
          <w:b/>
          <w:color w:val="auto"/>
          <w:highlight w:val="none"/>
        </w:rPr>
        <w:t>8</w:t>
      </w:r>
      <w:r>
        <w:rPr>
          <w:rFonts w:hint="eastAsia"/>
          <w:b/>
          <w:color w:val="auto"/>
          <w:highlight w:val="none"/>
        </w:rPr>
        <w:t>.</w:t>
      </w:r>
      <w:r>
        <w:rPr>
          <w:b/>
          <w:color w:val="auto"/>
          <w:highlight w:val="none"/>
        </w:rPr>
        <w:t>投诉</w:t>
      </w:r>
      <w:bookmarkEnd w:id="38"/>
    </w:p>
    <w:p w14:paraId="21E086EF">
      <w:pPr>
        <w:pStyle w:val="19"/>
        <w:rPr>
          <w:rFonts w:hint="eastAsia"/>
          <w:color w:val="auto"/>
          <w:highlight w:val="none"/>
        </w:rPr>
      </w:pPr>
      <w:r>
        <w:rPr>
          <w:color w:val="auto"/>
          <w:highlight w:val="none"/>
        </w:rPr>
        <w:t>8</w:t>
      </w:r>
      <w:r>
        <w:rPr>
          <w:rFonts w:hint="eastAsia"/>
          <w:color w:val="auto"/>
          <w:highlight w:val="none"/>
        </w:rPr>
        <w:t>.1</w:t>
      </w:r>
      <w:r>
        <w:rPr>
          <w:color w:val="auto"/>
          <w:highlight w:val="none"/>
        </w:rPr>
        <w:t>投诉必须首先经过质疑程序。质疑</w:t>
      </w:r>
      <w:r>
        <w:rPr>
          <w:rFonts w:hint="eastAsia"/>
          <w:color w:val="auto"/>
          <w:highlight w:val="none"/>
        </w:rPr>
        <w:t>人</w:t>
      </w:r>
      <w:r>
        <w:rPr>
          <w:color w:val="auto"/>
          <w:highlight w:val="none"/>
        </w:rPr>
        <w:t>对采购人、采购代理机构的答复不满意，或者采购人、采购代理机构未在规定的时间内做出答复的，可以在答复期满后</w:t>
      </w:r>
      <w:r>
        <w:rPr>
          <w:rFonts w:hint="eastAsia"/>
          <w:color w:val="auto"/>
          <w:highlight w:val="none"/>
        </w:rPr>
        <w:t>1</w:t>
      </w:r>
      <w:r>
        <w:rPr>
          <w:color w:val="auto"/>
          <w:highlight w:val="none"/>
        </w:rPr>
        <w:t>5个工作日内书面向</w:t>
      </w:r>
      <w:r>
        <w:rPr>
          <w:rFonts w:hint="eastAsia"/>
          <w:color w:val="auto"/>
          <w:highlight w:val="none"/>
        </w:rPr>
        <w:t>同</w:t>
      </w:r>
      <w:r>
        <w:rPr>
          <w:color w:val="auto"/>
          <w:highlight w:val="none"/>
        </w:rPr>
        <w:t>级财政部门</w:t>
      </w:r>
      <w:r>
        <w:rPr>
          <w:rFonts w:hint="eastAsia"/>
          <w:color w:val="auto"/>
          <w:highlight w:val="none"/>
        </w:rPr>
        <w:t>提出</w:t>
      </w:r>
      <w:r>
        <w:rPr>
          <w:color w:val="auto"/>
          <w:highlight w:val="none"/>
        </w:rPr>
        <w:t>投诉。</w:t>
      </w:r>
    </w:p>
    <w:p w14:paraId="3DA5555E">
      <w:pPr>
        <w:pStyle w:val="5"/>
        <w:rPr>
          <w:color w:val="auto"/>
          <w:highlight w:val="none"/>
        </w:rPr>
      </w:pPr>
      <w:bookmarkStart w:id="39" w:name="_Toc141099642"/>
      <w:bookmarkStart w:id="40" w:name="_Toc27287"/>
      <w:bookmarkStart w:id="41" w:name="_Toc101004083"/>
      <w:bookmarkStart w:id="42" w:name="_Toc33095531"/>
      <w:r>
        <w:rPr>
          <w:rFonts w:hint="eastAsia"/>
          <w:color w:val="auto"/>
          <w:highlight w:val="none"/>
        </w:rPr>
        <w:t>二、招标文件</w:t>
      </w:r>
      <w:bookmarkEnd w:id="39"/>
      <w:bookmarkEnd w:id="40"/>
      <w:bookmarkEnd w:id="41"/>
      <w:bookmarkEnd w:id="42"/>
    </w:p>
    <w:p w14:paraId="0AC8C920">
      <w:pPr>
        <w:pStyle w:val="19"/>
        <w:rPr>
          <w:rFonts w:hint="eastAsia"/>
          <w:color w:val="auto"/>
          <w:highlight w:val="none"/>
        </w:rPr>
      </w:pPr>
      <w:r>
        <w:rPr>
          <w:color w:val="auto"/>
          <w:highlight w:val="none"/>
        </w:rPr>
        <w:t>9</w:t>
      </w:r>
      <w:r>
        <w:rPr>
          <w:rFonts w:hint="eastAsia"/>
          <w:color w:val="auto"/>
          <w:highlight w:val="none"/>
        </w:rPr>
        <w:t>. 招标文件构成</w:t>
      </w:r>
    </w:p>
    <w:p w14:paraId="53D87929">
      <w:pPr>
        <w:spacing w:line="360" w:lineRule="auto"/>
        <w:jc w:val="left"/>
        <w:rPr>
          <w:rFonts w:hint="eastAsia" w:ascii="宋体" w:hAnsi="宋体"/>
          <w:color w:val="auto"/>
          <w:sz w:val="24"/>
          <w:highlight w:val="none"/>
        </w:rPr>
      </w:pPr>
      <w:r>
        <w:rPr>
          <w:rFonts w:ascii="宋体" w:hAnsi="宋体"/>
          <w:color w:val="auto"/>
          <w:sz w:val="24"/>
          <w:highlight w:val="none"/>
        </w:rPr>
        <w:t>9</w:t>
      </w:r>
      <w:r>
        <w:rPr>
          <w:rFonts w:hint="eastAsia" w:ascii="宋体" w:hAnsi="宋体"/>
          <w:color w:val="auto"/>
          <w:sz w:val="24"/>
          <w:highlight w:val="none"/>
        </w:rPr>
        <w:t>.1要求提供的货物、采购过程及合同条款在招标文件中均有说明，招标文件共七章，各章的内容如下：</w:t>
      </w:r>
    </w:p>
    <w:p w14:paraId="32ACFE00">
      <w:pPr>
        <w:spacing w:line="360" w:lineRule="auto"/>
        <w:jc w:val="left"/>
        <w:rPr>
          <w:rFonts w:hint="eastAsia" w:ascii="宋体" w:hAnsi="宋体"/>
          <w:color w:val="auto"/>
          <w:sz w:val="24"/>
          <w:highlight w:val="none"/>
        </w:rPr>
      </w:pPr>
      <w:r>
        <w:rPr>
          <w:rFonts w:hint="eastAsia" w:ascii="宋体" w:hAnsi="宋体"/>
          <w:color w:val="auto"/>
          <w:sz w:val="24"/>
          <w:highlight w:val="none"/>
        </w:rPr>
        <w:t>第一章  招标公告</w:t>
      </w:r>
    </w:p>
    <w:p w14:paraId="31991341">
      <w:pPr>
        <w:spacing w:line="360" w:lineRule="auto"/>
        <w:jc w:val="left"/>
        <w:rPr>
          <w:rFonts w:hint="eastAsia" w:ascii="宋体" w:hAnsi="宋体"/>
          <w:color w:val="auto"/>
          <w:sz w:val="24"/>
          <w:highlight w:val="none"/>
        </w:rPr>
      </w:pPr>
      <w:r>
        <w:rPr>
          <w:rFonts w:hint="eastAsia" w:hAnsi="宋体"/>
          <w:color w:val="auto"/>
          <w:sz w:val="24"/>
          <w:highlight w:val="none"/>
        </w:rPr>
        <w:t>第二章  投标人须知</w:t>
      </w:r>
    </w:p>
    <w:p w14:paraId="58846281">
      <w:pPr>
        <w:pStyle w:val="19"/>
        <w:rPr>
          <w:rFonts w:hint="eastAsia"/>
          <w:color w:val="auto"/>
          <w:highlight w:val="none"/>
        </w:rPr>
      </w:pPr>
      <w:r>
        <w:rPr>
          <w:rFonts w:hint="eastAsia"/>
          <w:color w:val="auto"/>
          <w:highlight w:val="none"/>
        </w:rPr>
        <w:t>第三章  合同书样式及主要条款</w:t>
      </w:r>
    </w:p>
    <w:p w14:paraId="69C3CA0C">
      <w:pPr>
        <w:pStyle w:val="19"/>
        <w:rPr>
          <w:rFonts w:hint="eastAsia"/>
          <w:color w:val="auto"/>
          <w:highlight w:val="none"/>
        </w:rPr>
      </w:pPr>
      <w:r>
        <w:rPr>
          <w:rFonts w:hint="eastAsia"/>
          <w:color w:val="auto"/>
          <w:highlight w:val="none"/>
        </w:rPr>
        <w:t>第四章  投标文件格式</w:t>
      </w:r>
    </w:p>
    <w:p w14:paraId="172B30BD">
      <w:pPr>
        <w:pStyle w:val="19"/>
        <w:rPr>
          <w:rFonts w:hint="eastAsia"/>
          <w:color w:val="auto"/>
          <w:highlight w:val="none"/>
        </w:rPr>
      </w:pPr>
      <w:r>
        <w:rPr>
          <w:rFonts w:hint="eastAsia"/>
          <w:color w:val="auto"/>
          <w:highlight w:val="none"/>
        </w:rPr>
        <w:t>第五章  项目需求及技术要求</w:t>
      </w:r>
    </w:p>
    <w:p w14:paraId="6EF9783B">
      <w:pPr>
        <w:pStyle w:val="19"/>
        <w:rPr>
          <w:rFonts w:hint="eastAsia"/>
          <w:color w:val="auto"/>
          <w:highlight w:val="none"/>
        </w:rPr>
      </w:pPr>
      <w:r>
        <w:rPr>
          <w:rFonts w:hint="eastAsia"/>
          <w:color w:val="auto"/>
          <w:highlight w:val="none"/>
        </w:rPr>
        <w:t xml:space="preserve">第六章 </w:t>
      </w:r>
      <w:r>
        <w:rPr>
          <w:color w:val="auto"/>
          <w:highlight w:val="none"/>
        </w:rPr>
        <w:t xml:space="preserve"> </w:t>
      </w:r>
      <w:r>
        <w:rPr>
          <w:rFonts w:hint="eastAsia"/>
          <w:color w:val="auto"/>
          <w:highlight w:val="none"/>
        </w:rPr>
        <w:t>资格评审标准</w:t>
      </w:r>
    </w:p>
    <w:p w14:paraId="73866AC3">
      <w:pPr>
        <w:pStyle w:val="19"/>
        <w:rPr>
          <w:rFonts w:hint="eastAsia"/>
          <w:color w:val="auto"/>
          <w:highlight w:val="none"/>
        </w:rPr>
      </w:pPr>
      <w:r>
        <w:rPr>
          <w:rFonts w:hint="eastAsia"/>
          <w:color w:val="auto"/>
          <w:highlight w:val="none"/>
        </w:rPr>
        <w:t>第七章  评标方法</w:t>
      </w:r>
    </w:p>
    <w:p w14:paraId="06BABA72">
      <w:pPr>
        <w:pStyle w:val="19"/>
        <w:rPr>
          <w:rFonts w:hint="eastAsia"/>
          <w:color w:val="auto"/>
          <w:highlight w:val="none"/>
        </w:rPr>
      </w:pPr>
      <w:r>
        <w:rPr>
          <w:color w:val="auto"/>
          <w:highlight w:val="none"/>
        </w:rPr>
        <w:t>10</w:t>
      </w:r>
      <w:r>
        <w:rPr>
          <w:rFonts w:hint="eastAsia"/>
          <w:color w:val="auto"/>
          <w:highlight w:val="none"/>
        </w:rPr>
        <w:t>. 招标文件的澄清</w:t>
      </w:r>
    </w:p>
    <w:p w14:paraId="448F67C7">
      <w:pPr>
        <w:spacing w:line="360" w:lineRule="auto"/>
        <w:jc w:val="left"/>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.1投标人应认真核查招标文件，如有疑问的，投标人可以在“</w:t>
      </w:r>
      <w:r>
        <w:rPr>
          <w:rFonts w:hint="eastAsia" w:ascii="宋体" w:hAnsi="宋体"/>
          <w:b/>
          <w:bCs/>
          <w:color w:val="auto"/>
          <w:sz w:val="24"/>
          <w:highlight w:val="none"/>
        </w:rPr>
        <w:t>投标人须知前附表</w:t>
      </w:r>
      <w:r>
        <w:rPr>
          <w:rFonts w:hint="eastAsia" w:ascii="宋体" w:hAnsi="宋体"/>
          <w:color w:val="auto"/>
          <w:sz w:val="24"/>
          <w:highlight w:val="none"/>
        </w:rPr>
        <w:t>”规定截止时间前以在线不署名形式要求采购代理机构澄清，截止时间后送达的澄清要求概不接受。所有获取了采购文件的潜在供应商凭企业数字证书（CA）登录“政采云”平台，通过在线方式进行不署名提问。</w:t>
      </w:r>
    </w:p>
    <w:p w14:paraId="4C8D1841">
      <w:pPr>
        <w:spacing w:line="360" w:lineRule="auto"/>
        <w:jc w:val="left"/>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.2采购代理机构将在政采云平台答复所有获取招标文件的投标人（答复中不包含问题的来源）要求澄清的问题，其他澄清方式为无效。</w:t>
      </w:r>
    </w:p>
    <w:p w14:paraId="5BE86315">
      <w:pPr>
        <w:pStyle w:val="19"/>
        <w:rPr>
          <w:rFonts w:hint="eastAsia"/>
          <w:color w:val="auto"/>
          <w:highlight w:val="none"/>
        </w:rPr>
      </w:pPr>
      <w:r>
        <w:rPr>
          <w:rFonts w:hint="eastAsia"/>
          <w:color w:val="auto"/>
          <w:highlight w:val="none"/>
        </w:rPr>
        <w:t>1</w:t>
      </w:r>
      <w:r>
        <w:rPr>
          <w:color w:val="auto"/>
          <w:highlight w:val="none"/>
        </w:rPr>
        <w:t>1</w:t>
      </w:r>
      <w:r>
        <w:rPr>
          <w:rFonts w:hint="eastAsia"/>
          <w:color w:val="auto"/>
          <w:highlight w:val="none"/>
        </w:rPr>
        <w:t>. 招标文件的澄清或者修改</w:t>
      </w:r>
    </w:p>
    <w:p w14:paraId="7D2E04ED">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1采购代理机构可以在投标截止时间至少15日前，对已发出的招标文件进行必要澄清或者修改的。发出必要澄清或者修改的，将在财政部门指定的政府采购信息发布媒体上发布更正公告，该澄清或者修改的内容为招标文件的组成部分。澄清或者修改的内容可能影响投标文件编制的，且距投标截止时间不足15日的，采购代理机构将顺延提交投标文件的截止时间。</w:t>
      </w:r>
    </w:p>
    <w:p w14:paraId="697FF24E">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2</w:t>
      </w:r>
      <w:r>
        <w:rPr>
          <w:rFonts w:hint="eastAsia" w:ascii="宋体" w:hAnsi="宋体"/>
          <w:color w:val="auto"/>
          <w:sz w:val="24"/>
          <w:highlight w:val="none"/>
        </w:rPr>
        <w:t>采购代理机构和采购单位可以视项目具体情况，延长投标截止时间和推迟开标时间，但至少在招标文件要求提交投标文件的截止时间前，通过在财政部门指定的政府采购信息发布媒体上发布变更公告的形式，通知获取招标文件的潜在投标人。</w:t>
      </w:r>
    </w:p>
    <w:p w14:paraId="6C7F7E10">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.3采购人对采购文件中的涉及评标办法、评审项目等重要评审内容做出变更，将同时发布补遗文件进行说明以保证各投标人都能重新下载并用于编制电子投标文件。</w:t>
      </w:r>
    </w:p>
    <w:p w14:paraId="721422F2">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.4投标人应在投标截止时间前及时登录政府采购云平台（https://www.zcygov.cn/）中查看有关招标文件的答疑、补遗内容。否则，后果自负。</w:t>
      </w:r>
    </w:p>
    <w:p w14:paraId="098D96ED">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.5招标文件澄清、招标文件修改文件内容均以网上电子文件为准，当招标文件、招标文件澄清、招标文件修改文件内容前后相互矛盾时，以最后发出的为准。</w:t>
      </w:r>
    </w:p>
    <w:p w14:paraId="17E3C310">
      <w:pPr>
        <w:pStyle w:val="5"/>
        <w:rPr>
          <w:color w:val="auto"/>
          <w:highlight w:val="none"/>
        </w:rPr>
      </w:pPr>
      <w:bookmarkStart w:id="43" w:name="_Toc23491"/>
      <w:bookmarkStart w:id="44" w:name="_Toc33095532"/>
      <w:bookmarkStart w:id="45" w:name="_Toc101004084"/>
      <w:bookmarkStart w:id="46" w:name="_Toc141099643"/>
      <w:r>
        <w:rPr>
          <w:rFonts w:hint="eastAsia"/>
          <w:color w:val="auto"/>
          <w:highlight w:val="none"/>
        </w:rPr>
        <w:t>三、投标文件</w:t>
      </w:r>
      <w:bookmarkEnd w:id="43"/>
      <w:bookmarkEnd w:id="44"/>
      <w:bookmarkEnd w:id="45"/>
      <w:bookmarkEnd w:id="46"/>
    </w:p>
    <w:p w14:paraId="17BF02CC">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2</w:t>
      </w:r>
      <w:r>
        <w:rPr>
          <w:rFonts w:hint="eastAsia" w:ascii="宋体" w:hAnsi="宋体"/>
          <w:b/>
          <w:color w:val="auto"/>
          <w:sz w:val="24"/>
          <w:highlight w:val="none"/>
        </w:rPr>
        <w:t>. 投标文件编写注意事项</w:t>
      </w:r>
    </w:p>
    <w:p w14:paraId="15DB189D">
      <w:pPr>
        <w:spacing w:line="360" w:lineRule="auto"/>
        <w:jc w:val="left"/>
        <w:rPr>
          <w:rFonts w:hint="eastAsia" w:ascii="宋体" w:hAnsi="宋体"/>
          <w:b/>
          <w:color w:val="auto"/>
          <w:sz w:val="24"/>
          <w:highlight w:val="none"/>
        </w:rPr>
      </w:pPr>
      <w:r>
        <w:rPr>
          <w:rFonts w:hint="eastAsia" w:ascii="宋体" w:hAnsi="宋体"/>
          <w:color w:val="auto"/>
          <w:sz w:val="24"/>
          <w:highlight w:val="none"/>
        </w:rPr>
        <w:t>1</w:t>
      </w:r>
      <w:r>
        <w:rPr>
          <w:rFonts w:ascii="宋体" w:hAnsi="宋体"/>
          <w:color w:val="auto"/>
          <w:sz w:val="24"/>
          <w:highlight w:val="none"/>
        </w:rPr>
        <w:t>2</w:t>
      </w:r>
      <w:r>
        <w:rPr>
          <w:rFonts w:hint="eastAsia" w:ascii="宋体" w:hAnsi="宋体"/>
          <w:color w:val="auto"/>
          <w:sz w:val="24"/>
          <w:highlight w:val="none"/>
        </w:rPr>
        <w:t>.1投标人应仔细阅读招标文件，在完全了解采购的内容、技术性能要求(详见“</w:t>
      </w:r>
      <w:r>
        <w:rPr>
          <w:rFonts w:hint="eastAsia" w:ascii="宋体" w:hAnsi="宋体"/>
          <w:b/>
          <w:color w:val="auto"/>
          <w:sz w:val="24"/>
          <w:highlight w:val="none"/>
        </w:rPr>
        <w:t>项目需求及技术要求”</w:t>
      </w:r>
      <w:r>
        <w:rPr>
          <w:rFonts w:hint="eastAsia" w:ascii="宋体" w:hAnsi="宋体"/>
          <w:color w:val="auto"/>
          <w:sz w:val="24"/>
          <w:highlight w:val="none"/>
        </w:rPr>
        <w:t>)和商务条件后，编写投标文件。</w:t>
      </w:r>
      <w:r>
        <w:rPr>
          <w:rFonts w:hint="eastAsia" w:ascii="宋体" w:hAnsi="宋体"/>
          <w:b/>
          <w:color w:val="auto"/>
          <w:sz w:val="24"/>
          <w:highlight w:val="none"/>
        </w:rPr>
        <w:t>招标文件中标注★号的条款为实质性要求和条件，投标文件必须响应招标文件的实质性要求和条件，不满足任何一条将导致投标无效。</w:t>
      </w:r>
    </w:p>
    <w:p w14:paraId="114C03F9">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2</w:t>
      </w:r>
      <w:r>
        <w:rPr>
          <w:rFonts w:hint="eastAsia" w:ascii="宋体" w:hAnsi="宋体"/>
          <w:color w:val="auto"/>
          <w:sz w:val="24"/>
          <w:highlight w:val="none"/>
        </w:rPr>
        <w:t>.2 对招标文件提出的实质性要求和条件作出响应是指：投标人必须对招标文件中的实质性要求和条件的内容作出满足或者优于原要求和条件的承诺，并提供相应的证明材料。</w:t>
      </w:r>
    </w:p>
    <w:p w14:paraId="2C411F21">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3</w:t>
      </w:r>
      <w:r>
        <w:rPr>
          <w:rFonts w:hint="eastAsia" w:ascii="宋体" w:hAnsi="宋体"/>
          <w:b/>
          <w:color w:val="auto"/>
          <w:sz w:val="24"/>
          <w:highlight w:val="none"/>
        </w:rPr>
        <w:t>. 投标的语言及计量单位</w:t>
      </w:r>
    </w:p>
    <w:p w14:paraId="59540D41">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3</w:t>
      </w:r>
      <w:r>
        <w:rPr>
          <w:rFonts w:hint="eastAsia" w:ascii="宋体" w:hAnsi="宋体"/>
          <w:color w:val="auto"/>
          <w:sz w:val="24"/>
          <w:highlight w:val="none"/>
        </w:rPr>
        <w:t>.1投标人的投标文件以及投标人与采购代理机构就有关投标的所有来往函电统一使用中文（特别规定除外）。</w:t>
      </w:r>
    </w:p>
    <w:p w14:paraId="088D4F68">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3</w:t>
      </w:r>
      <w:r>
        <w:rPr>
          <w:rFonts w:hint="eastAsia" w:ascii="宋体" w:hAnsi="宋体"/>
          <w:color w:val="auto"/>
          <w:sz w:val="24"/>
          <w:highlight w:val="none"/>
        </w:rPr>
        <w:t>.2投标文件中使用的计量单位除招标文件中有特殊规定外，一律使用中国法定计量单位。</w:t>
      </w:r>
    </w:p>
    <w:p w14:paraId="302C05A0">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4</w:t>
      </w:r>
      <w:r>
        <w:rPr>
          <w:rFonts w:hint="eastAsia" w:ascii="宋体" w:hAnsi="宋体"/>
          <w:b/>
          <w:color w:val="auto"/>
          <w:sz w:val="24"/>
          <w:highlight w:val="none"/>
        </w:rPr>
        <w:t>. 投标文件构成</w:t>
      </w:r>
    </w:p>
    <w:p w14:paraId="23E0917C">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4</w:t>
      </w:r>
      <w:r>
        <w:rPr>
          <w:rFonts w:hint="eastAsia" w:ascii="宋体" w:hAnsi="宋体"/>
          <w:color w:val="auto"/>
          <w:sz w:val="24"/>
          <w:highlight w:val="none"/>
        </w:rPr>
        <w:t>.1投标人编写的投标文件应按第四章“投标文件格式”要求填写，构成投标文件其他资料详见投标人须知前附表。</w:t>
      </w:r>
    </w:p>
    <w:p w14:paraId="793A0B06">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4</w:t>
      </w:r>
      <w:r>
        <w:rPr>
          <w:rFonts w:hint="eastAsia" w:ascii="宋体" w:hAnsi="宋体"/>
          <w:color w:val="auto"/>
          <w:sz w:val="24"/>
          <w:highlight w:val="none"/>
        </w:rPr>
        <w:t>.2投标人同时投多个包（</w:t>
      </w:r>
      <w:r>
        <w:rPr>
          <w:rFonts w:hint="eastAsia" w:ascii="宋体" w:hAnsi="宋体"/>
          <w:b/>
          <w:color w:val="auto"/>
          <w:sz w:val="24"/>
          <w:highlight w:val="none"/>
        </w:rPr>
        <w:t>若分包时</w:t>
      </w:r>
      <w:r>
        <w:rPr>
          <w:rFonts w:hint="eastAsia" w:ascii="宋体" w:hAnsi="宋体"/>
          <w:color w:val="auto"/>
          <w:sz w:val="24"/>
          <w:highlight w:val="none"/>
        </w:rPr>
        <w:t>）的，投标文件应按包分别编制，单独成册。</w:t>
      </w:r>
    </w:p>
    <w:p w14:paraId="42C5E23C">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5</w:t>
      </w:r>
      <w:r>
        <w:rPr>
          <w:rFonts w:hint="eastAsia" w:ascii="宋体" w:hAnsi="宋体"/>
          <w:b/>
          <w:color w:val="auto"/>
          <w:sz w:val="24"/>
          <w:highlight w:val="none"/>
        </w:rPr>
        <w:t>. 投标文件的格式要求</w:t>
      </w:r>
    </w:p>
    <w:p w14:paraId="3C84F7C8">
      <w:pPr>
        <w:pStyle w:val="19"/>
        <w:rPr>
          <w:rFonts w:hint="eastAsia"/>
          <w:bCs/>
          <w:color w:val="auto"/>
          <w:highlight w:val="none"/>
        </w:rPr>
      </w:pPr>
      <w:r>
        <w:rPr>
          <w:rFonts w:hint="eastAsia"/>
          <w:color w:val="auto"/>
          <w:highlight w:val="none"/>
        </w:rPr>
        <w:t>1</w:t>
      </w:r>
      <w:r>
        <w:rPr>
          <w:color w:val="auto"/>
          <w:highlight w:val="none"/>
        </w:rPr>
        <w:t>5</w:t>
      </w:r>
      <w:r>
        <w:rPr>
          <w:rFonts w:hint="eastAsia"/>
          <w:color w:val="auto"/>
          <w:highlight w:val="none"/>
        </w:rPr>
        <w:t>.1投标人应按第四章“</w:t>
      </w:r>
      <w:r>
        <w:rPr>
          <w:rFonts w:hint="eastAsia"/>
          <w:b/>
          <w:color w:val="auto"/>
          <w:highlight w:val="none"/>
        </w:rPr>
        <w:t>投标文件格式</w:t>
      </w:r>
      <w:r>
        <w:rPr>
          <w:rFonts w:hint="eastAsia"/>
          <w:color w:val="auto"/>
          <w:highlight w:val="none"/>
        </w:rPr>
        <w:t>”提供的格式完整地填写。</w:t>
      </w:r>
    </w:p>
    <w:p w14:paraId="54228148">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6</w:t>
      </w:r>
      <w:r>
        <w:rPr>
          <w:rFonts w:hint="eastAsia" w:ascii="宋体" w:hAnsi="宋体"/>
          <w:b/>
          <w:color w:val="auto"/>
          <w:sz w:val="24"/>
          <w:highlight w:val="none"/>
        </w:rPr>
        <w:t>. 投标报价</w:t>
      </w:r>
    </w:p>
    <w:p w14:paraId="4AC687E3">
      <w:pPr>
        <w:pStyle w:val="19"/>
        <w:rPr>
          <w:rFonts w:hint="eastAsia"/>
          <w:color w:val="auto"/>
          <w:highlight w:val="none"/>
        </w:rPr>
      </w:pPr>
      <w:r>
        <w:rPr>
          <w:rFonts w:hint="eastAsia"/>
          <w:b/>
          <w:color w:val="auto"/>
          <w:highlight w:val="none"/>
        </w:rPr>
        <w:t>★</w:t>
      </w:r>
      <w:r>
        <w:rPr>
          <w:rFonts w:hint="eastAsia"/>
          <w:color w:val="auto"/>
          <w:highlight w:val="none"/>
        </w:rPr>
        <w:t>1</w:t>
      </w:r>
      <w:r>
        <w:rPr>
          <w:color w:val="auto"/>
          <w:highlight w:val="none"/>
        </w:rPr>
        <w:t>6</w:t>
      </w:r>
      <w:r>
        <w:rPr>
          <w:rFonts w:hint="eastAsia"/>
          <w:color w:val="auto"/>
          <w:highlight w:val="none"/>
        </w:rPr>
        <w:t>.1本项目预算金额及最高限价见“</w:t>
      </w:r>
      <w:r>
        <w:rPr>
          <w:rFonts w:hint="eastAsia"/>
          <w:b/>
          <w:bCs/>
          <w:color w:val="auto"/>
          <w:highlight w:val="none"/>
        </w:rPr>
        <w:t>投标人须知前附表</w:t>
      </w:r>
      <w:r>
        <w:rPr>
          <w:rFonts w:hint="eastAsia"/>
          <w:color w:val="auto"/>
          <w:highlight w:val="none"/>
        </w:rPr>
        <w:t>”，单价限价详见</w:t>
      </w:r>
      <w:r>
        <w:rPr>
          <w:rFonts w:hint="eastAsia"/>
          <w:b/>
          <w:color w:val="auto"/>
          <w:highlight w:val="none"/>
        </w:rPr>
        <w:t>“第五章项目需求及技术要求”</w:t>
      </w:r>
      <w:r>
        <w:rPr>
          <w:rFonts w:hint="eastAsia"/>
          <w:color w:val="auto"/>
          <w:highlight w:val="none"/>
        </w:rPr>
        <w:t>，若投标人的投标报价超过最高限价或单价限价的，</w:t>
      </w:r>
      <w:r>
        <w:rPr>
          <w:rFonts w:hint="eastAsia"/>
          <w:bCs/>
          <w:color w:val="auto"/>
          <w:highlight w:val="none"/>
        </w:rPr>
        <w:t>按不实质性响应招标文件要求处理</w:t>
      </w:r>
      <w:r>
        <w:rPr>
          <w:rFonts w:hint="eastAsia"/>
          <w:color w:val="auto"/>
          <w:highlight w:val="none"/>
        </w:rPr>
        <w:t>。</w:t>
      </w:r>
    </w:p>
    <w:p w14:paraId="3D57FC69">
      <w:pPr>
        <w:pStyle w:val="19"/>
        <w:rPr>
          <w:rFonts w:hint="eastAsia"/>
          <w:color w:val="auto"/>
          <w:highlight w:val="none"/>
        </w:rPr>
      </w:pPr>
      <w:r>
        <w:rPr>
          <w:rFonts w:hint="eastAsia"/>
          <w:color w:val="auto"/>
          <w:highlight w:val="none"/>
        </w:rPr>
        <w:t>1</w:t>
      </w:r>
      <w:r>
        <w:rPr>
          <w:color w:val="auto"/>
          <w:highlight w:val="none"/>
        </w:rPr>
        <w:t>6</w:t>
      </w:r>
      <w:r>
        <w:rPr>
          <w:rFonts w:hint="eastAsia"/>
          <w:color w:val="auto"/>
          <w:highlight w:val="none"/>
        </w:rPr>
        <w:t>.2投标人须就“项目需求及技术要求”中的</w:t>
      </w:r>
      <w:r>
        <w:rPr>
          <w:rFonts w:hint="eastAsia"/>
          <w:bCs/>
          <w:color w:val="auto"/>
          <w:highlight w:val="none"/>
        </w:rPr>
        <w:t>所投包货物内容作完整唯一报价</w:t>
      </w:r>
      <w:r>
        <w:rPr>
          <w:rFonts w:hint="eastAsia"/>
          <w:color w:val="auto"/>
          <w:highlight w:val="none"/>
        </w:rPr>
        <w:t>。</w:t>
      </w:r>
    </w:p>
    <w:p w14:paraId="737B2607">
      <w:pPr>
        <w:pStyle w:val="19"/>
        <w:rPr>
          <w:rFonts w:hint="eastAsia"/>
          <w:color w:val="auto"/>
          <w:highlight w:val="none"/>
        </w:rPr>
      </w:pPr>
      <w:r>
        <w:rPr>
          <w:color w:val="auto"/>
          <w:highlight w:val="none"/>
        </w:rPr>
        <w:t>16</w:t>
      </w:r>
      <w:r>
        <w:rPr>
          <w:rFonts w:hint="eastAsia"/>
          <w:color w:val="auto"/>
          <w:highlight w:val="none"/>
        </w:rPr>
        <w:t>.3</w:t>
      </w:r>
      <w:r>
        <w:rPr>
          <w:color w:val="auto"/>
          <w:highlight w:val="none"/>
        </w:rPr>
        <w:t>投标人应依据招标文件的要求及有关资料，按国家或行业现行技术经济标准、定额及规范，自行测算出满足招标要求的投标货物的竞争性报价。</w:t>
      </w:r>
      <w:r>
        <w:rPr>
          <w:b/>
          <w:color w:val="auto"/>
          <w:highlight w:val="none"/>
        </w:rPr>
        <w:t>投标报价</w:t>
      </w:r>
      <w:r>
        <w:rPr>
          <w:color w:val="auto"/>
          <w:highlight w:val="none"/>
        </w:rPr>
        <w:t>包括但不仅限于</w:t>
      </w:r>
      <w:r>
        <w:rPr>
          <w:rFonts w:hint="eastAsia"/>
          <w:color w:val="auto"/>
          <w:highlight w:val="none"/>
        </w:rPr>
        <w:t>投标产品的出厂价，运杂费用、技术服务费、保证期内缺陷的修复补救费用，市场价格变化的风险费用、利润、税金、代理服务费等的总和，该报价应考虑市场风险、政策性风险、汇率风险等因素，并能保证投标人完成履行合同所需的全部工作，此价格在合同签订后将不作调整</w:t>
      </w:r>
      <w:r>
        <w:rPr>
          <w:color w:val="auto"/>
          <w:highlight w:val="none"/>
        </w:rPr>
        <w:t>。</w:t>
      </w:r>
    </w:p>
    <w:p w14:paraId="566ECB3C">
      <w:pPr>
        <w:pStyle w:val="19"/>
        <w:rPr>
          <w:rFonts w:hint="eastAsia"/>
          <w:color w:val="auto"/>
          <w:highlight w:val="none"/>
        </w:rPr>
      </w:pPr>
      <w:r>
        <w:rPr>
          <w:color w:val="auto"/>
          <w:highlight w:val="none"/>
        </w:rPr>
        <w:t>16.</w:t>
      </w:r>
      <w:r>
        <w:rPr>
          <w:rFonts w:hint="eastAsia"/>
          <w:color w:val="auto"/>
          <w:highlight w:val="none"/>
        </w:rPr>
        <w:t>4货物的</w:t>
      </w:r>
      <w:r>
        <w:rPr>
          <w:rFonts w:hint="eastAsia"/>
          <w:b/>
          <w:bCs/>
          <w:color w:val="auto"/>
          <w:highlight w:val="none"/>
        </w:rPr>
        <w:t>出厂价</w:t>
      </w:r>
      <w:r>
        <w:rPr>
          <w:rFonts w:hint="eastAsia"/>
          <w:color w:val="auto"/>
          <w:highlight w:val="none"/>
        </w:rPr>
        <w:t>指制造厂生产的，满足招标要求及符合国家质量检测标准的货物的价格。包括但不仅限于产品的设计费、投标人为取得生产制造投标货物所需的图纸或为采购人提供所生产货物的图纸和技术资料的费用、生产所需的材料费、加工费、辅助材料费、专用工具费、废品损失费、外购配套件费、包装费、利润和税金等费用。还包括必不可少的部件、标准备件、专用工具的价格</w:t>
      </w:r>
      <w:r>
        <w:rPr>
          <w:color w:val="auto"/>
          <w:highlight w:val="none"/>
        </w:rPr>
        <w:t>。</w:t>
      </w:r>
    </w:p>
    <w:p w14:paraId="73779DD4">
      <w:pPr>
        <w:pStyle w:val="19"/>
        <w:rPr>
          <w:rFonts w:hint="eastAsia"/>
          <w:color w:val="auto"/>
          <w:highlight w:val="none"/>
        </w:rPr>
      </w:pPr>
      <w:r>
        <w:rPr>
          <w:color w:val="auto"/>
          <w:highlight w:val="none"/>
        </w:rPr>
        <w:t>16.</w:t>
      </w:r>
      <w:r>
        <w:rPr>
          <w:rFonts w:hint="eastAsia"/>
          <w:color w:val="auto"/>
          <w:highlight w:val="none"/>
        </w:rPr>
        <w:t>5</w:t>
      </w:r>
      <w:r>
        <w:rPr>
          <w:color w:val="auto"/>
          <w:highlight w:val="none"/>
        </w:rPr>
        <w:t>项目特别要求的备品备件，指按“</w:t>
      </w:r>
      <w:r>
        <w:rPr>
          <w:b/>
          <w:color w:val="auto"/>
          <w:highlight w:val="none"/>
        </w:rPr>
        <w:t>投标人须知前附表</w:t>
      </w:r>
      <w:r>
        <w:rPr>
          <w:color w:val="auto"/>
          <w:highlight w:val="none"/>
        </w:rPr>
        <w:t>”</w:t>
      </w:r>
      <w:r>
        <w:rPr>
          <w:bCs/>
          <w:color w:val="auto"/>
          <w:highlight w:val="none"/>
        </w:rPr>
        <w:t>的要求</w:t>
      </w:r>
      <w:r>
        <w:rPr>
          <w:color w:val="auto"/>
          <w:highlight w:val="none"/>
        </w:rPr>
        <w:t>提供规定</w:t>
      </w:r>
      <w:r>
        <w:rPr>
          <w:rFonts w:hint="eastAsia"/>
          <w:color w:val="auto"/>
          <w:highlight w:val="none"/>
        </w:rPr>
        <w:t>时间</w:t>
      </w:r>
      <w:r>
        <w:rPr>
          <w:color w:val="auto"/>
          <w:highlight w:val="none"/>
        </w:rPr>
        <w:t>内所需的备品备件，备品备件费用包含在投标报价中。</w:t>
      </w:r>
    </w:p>
    <w:p w14:paraId="4EEEB079">
      <w:pPr>
        <w:pStyle w:val="19"/>
        <w:rPr>
          <w:rFonts w:hint="eastAsia"/>
          <w:b/>
          <w:color w:val="auto"/>
          <w:highlight w:val="none"/>
        </w:rPr>
      </w:pPr>
      <w:r>
        <w:rPr>
          <w:color w:val="auto"/>
          <w:highlight w:val="none"/>
        </w:rPr>
        <w:t>16.</w:t>
      </w:r>
      <w:r>
        <w:rPr>
          <w:rFonts w:hint="eastAsia"/>
          <w:color w:val="auto"/>
          <w:highlight w:val="none"/>
        </w:rPr>
        <w:t>6</w:t>
      </w:r>
      <w:r>
        <w:rPr>
          <w:b/>
          <w:color w:val="auto"/>
          <w:highlight w:val="none"/>
        </w:rPr>
        <w:t>运杂费用</w:t>
      </w:r>
      <w:r>
        <w:rPr>
          <w:color w:val="auto"/>
          <w:highlight w:val="none"/>
        </w:rPr>
        <w:t>：即投标货物到项目地点前的所有费用，包括铁路或公路运费、提货及转运费用、短途运费、包装费、装卸费用、加固费用、保险费等。</w:t>
      </w:r>
    </w:p>
    <w:p w14:paraId="35F4DF82">
      <w:pPr>
        <w:pStyle w:val="19"/>
        <w:rPr>
          <w:rFonts w:hint="eastAsia"/>
          <w:color w:val="auto"/>
          <w:highlight w:val="none"/>
        </w:rPr>
      </w:pPr>
      <w:r>
        <w:rPr>
          <w:color w:val="auto"/>
          <w:highlight w:val="none"/>
        </w:rPr>
        <w:t>16.</w:t>
      </w:r>
      <w:r>
        <w:rPr>
          <w:rFonts w:hint="eastAsia"/>
          <w:color w:val="auto"/>
          <w:highlight w:val="none"/>
        </w:rPr>
        <w:t>7</w:t>
      </w:r>
      <w:r>
        <w:rPr>
          <w:b/>
          <w:color w:val="auto"/>
          <w:highlight w:val="none"/>
        </w:rPr>
        <w:t>技术服务费用</w:t>
      </w:r>
      <w:r>
        <w:rPr>
          <w:color w:val="auto"/>
          <w:highlight w:val="none"/>
        </w:rPr>
        <w:t>包括：设计联络费用</w:t>
      </w:r>
      <w:r>
        <w:rPr>
          <w:rFonts w:hint="eastAsia"/>
          <w:color w:val="auto"/>
          <w:highlight w:val="none"/>
        </w:rPr>
        <w:t>（若有）</w:t>
      </w:r>
      <w:r>
        <w:rPr>
          <w:color w:val="auto"/>
          <w:highlight w:val="none"/>
        </w:rPr>
        <w:t>、现场服务（包括指导安装和调试费用）和人员培训的费用</w:t>
      </w:r>
      <w:r>
        <w:rPr>
          <w:rFonts w:hint="eastAsia"/>
          <w:color w:val="auto"/>
          <w:highlight w:val="none"/>
        </w:rPr>
        <w:t>、技术资料费</w:t>
      </w:r>
      <w:r>
        <w:rPr>
          <w:color w:val="auto"/>
          <w:highlight w:val="none"/>
        </w:rPr>
        <w:t>以及技术咨询协调费用等。</w:t>
      </w:r>
    </w:p>
    <w:p w14:paraId="0E2F57FE">
      <w:pPr>
        <w:pStyle w:val="19"/>
        <w:rPr>
          <w:rFonts w:hint="eastAsia"/>
          <w:color w:val="auto"/>
          <w:highlight w:val="none"/>
        </w:rPr>
      </w:pPr>
      <w:r>
        <w:rPr>
          <w:color w:val="auto"/>
          <w:highlight w:val="none"/>
        </w:rPr>
        <w:t>16.</w:t>
      </w:r>
      <w:r>
        <w:rPr>
          <w:rFonts w:hint="eastAsia"/>
          <w:color w:val="auto"/>
          <w:highlight w:val="none"/>
        </w:rPr>
        <w:t>8投标货币：投标以人民币报价。</w:t>
      </w:r>
    </w:p>
    <w:p w14:paraId="494F75FA">
      <w:pPr>
        <w:spacing w:line="360" w:lineRule="auto"/>
        <w:jc w:val="left"/>
        <w:rPr>
          <w:rFonts w:hint="eastAsia" w:ascii="宋体" w:hAnsi="宋体"/>
          <w:b/>
          <w:color w:val="auto"/>
          <w:sz w:val="24"/>
          <w:highlight w:val="none"/>
        </w:rPr>
      </w:pPr>
      <w:r>
        <w:rPr>
          <w:rFonts w:hint="eastAsia" w:ascii="宋体" w:hAnsi="宋体"/>
          <w:b/>
          <w:color w:val="auto"/>
          <w:sz w:val="24"/>
          <w:highlight w:val="none"/>
        </w:rPr>
        <w:t>17. 投标文件有效期</w:t>
      </w:r>
    </w:p>
    <w:p w14:paraId="086DD556">
      <w:pPr>
        <w:spacing w:line="360" w:lineRule="auto"/>
        <w:jc w:val="left"/>
        <w:rPr>
          <w:rFonts w:hint="eastAsia" w:hAnsi="宋体"/>
          <w:color w:val="auto"/>
          <w:sz w:val="24"/>
          <w:highlight w:val="none"/>
        </w:rPr>
      </w:pPr>
      <w:r>
        <w:rPr>
          <w:rFonts w:hint="eastAsia" w:ascii="宋体" w:hAnsi="宋体"/>
          <w:color w:val="auto"/>
          <w:sz w:val="24"/>
          <w:highlight w:val="none"/>
        </w:rPr>
        <w:t>17.1</w:t>
      </w:r>
      <w:r>
        <w:rPr>
          <w:rFonts w:hAnsi="宋体"/>
          <w:color w:val="auto"/>
          <w:sz w:val="24"/>
          <w:highlight w:val="none"/>
        </w:rPr>
        <w:t>在“投标人须知前附表”规定的投标有效期内，投标人不得要求撤销或修改其投标文件。</w:t>
      </w:r>
    </w:p>
    <w:p w14:paraId="789DEBBA">
      <w:pPr>
        <w:spacing w:line="360" w:lineRule="auto"/>
        <w:jc w:val="left"/>
        <w:rPr>
          <w:rFonts w:hint="eastAsia" w:ascii="宋体" w:hAnsi="宋体"/>
          <w:color w:val="auto"/>
          <w:sz w:val="24"/>
          <w:highlight w:val="none"/>
        </w:rPr>
      </w:pPr>
      <w:r>
        <w:rPr>
          <w:rFonts w:hint="eastAsia" w:hAnsi="宋体"/>
          <w:b/>
          <w:color w:val="auto"/>
          <w:sz w:val="24"/>
          <w:highlight w:val="none"/>
        </w:rPr>
        <w:t>★</w:t>
      </w:r>
      <w:r>
        <w:rPr>
          <w:rFonts w:hint="eastAsia" w:ascii="宋体" w:hAnsi="宋体"/>
          <w:color w:val="auto"/>
          <w:sz w:val="24"/>
          <w:highlight w:val="none"/>
        </w:rPr>
        <w:t>17.2投标有效期从提交投标文件的截止之日起算。投标文件中承诺的投标有效期应当不少于招标文件中载明的投标有效期。投标有效期内投标人撤销投标文件的，采购代理机构可以不退还投标保证金。</w:t>
      </w:r>
    </w:p>
    <w:p w14:paraId="5D693435">
      <w:pPr>
        <w:spacing w:line="360" w:lineRule="auto"/>
        <w:jc w:val="left"/>
        <w:rPr>
          <w:rFonts w:hint="eastAsia" w:ascii="宋体" w:hAnsi="宋体"/>
          <w:color w:val="auto"/>
          <w:sz w:val="24"/>
          <w:highlight w:val="none"/>
        </w:rPr>
      </w:pPr>
      <w:r>
        <w:rPr>
          <w:rFonts w:hint="eastAsia" w:ascii="宋体" w:hAnsi="宋体"/>
          <w:color w:val="auto"/>
          <w:sz w:val="24"/>
          <w:highlight w:val="none"/>
        </w:rPr>
        <w:t>17.3在</w:t>
      </w:r>
      <w:r>
        <w:rPr>
          <w:rFonts w:ascii="宋体" w:hAnsi="宋体"/>
          <w:color w:val="auto"/>
          <w:sz w:val="24"/>
          <w:highlight w:val="none"/>
        </w:rPr>
        <w:t>特殊情况需要延长投标有效期的，</w:t>
      </w:r>
      <w:r>
        <w:rPr>
          <w:rFonts w:hint="eastAsia" w:ascii="宋体" w:hAnsi="宋体"/>
          <w:color w:val="auto"/>
          <w:sz w:val="24"/>
          <w:highlight w:val="none"/>
        </w:rPr>
        <w:t>采购人</w:t>
      </w:r>
      <w:r>
        <w:rPr>
          <w:rFonts w:ascii="宋体" w:hAnsi="宋体"/>
          <w:color w:val="auto"/>
          <w:sz w:val="24"/>
          <w:highlight w:val="none"/>
        </w:rPr>
        <w:t>以书面形式通知所有投标人延长投标有效期。投标人同意延长的，应相应延长其投标保证金的有效期，但不得要求或被允许修改或撤销其投标文件；投标人拒绝延长的，其投标</w:t>
      </w:r>
      <w:r>
        <w:rPr>
          <w:rFonts w:hint="eastAsia" w:ascii="宋体" w:hAnsi="宋体"/>
          <w:color w:val="auto"/>
          <w:sz w:val="24"/>
          <w:highlight w:val="none"/>
        </w:rPr>
        <w:t>文件</w:t>
      </w:r>
      <w:r>
        <w:rPr>
          <w:rFonts w:ascii="宋体" w:hAnsi="宋体"/>
          <w:color w:val="auto"/>
          <w:sz w:val="24"/>
          <w:highlight w:val="none"/>
        </w:rPr>
        <w:t>失效，但投标人有权收回其投标保证金。</w:t>
      </w:r>
    </w:p>
    <w:p w14:paraId="2804B5FD">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8</w:t>
      </w:r>
      <w:r>
        <w:rPr>
          <w:rFonts w:hint="eastAsia" w:ascii="宋体" w:hAnsi="宋体"/>
          <w:b/>
          <w:color w:val="auto"/>
          <w:sz w:val="24"/>
          <w:highlight w:val="none"/>
        </w:rPr>
        <w:t>.分包</w:t>
      </w:r>
    </w:p>
    <w:p w14:paraId="57C6717E">
      <w:pPr>
        <w:spacing w:line="360" w:lineRule="auto"/>
        <w:jc w:val="left"/>
        <w:rPr>
          <w:rFonts w:hint="eastAsia" w:ascii="inherit" w:hAnsi="inherit" w:cs="宋体"/>
          <w:color w:val="auto"/>
          <w:kern w:val="0"/>
          <w:sz w:val="24"/>
          <w:highlight w:val="none"/>
        </w:rPr>
      </w:pPr>
      <w:r>
        <w:rPr>
          <w:rFonts w:hint="eastAsia" w:hAnsi="宋体"/>
          <w:color w:val="auto"/>
          <w:sz w:val="24"/>
          <w:highlight w:val="none"/>
        </w:rPr>
        <w:t>1</w:t>
      </w:r>
      <w:r>
        <w:rPr>
          <w:rFonts w:hAnsi="宋体"/>
          <w:color w:val="auto"/>
          <w:sz w:val="24"/>
          <w:highlight w:val="none"/>
        </w:rPr>
        <w:t>8</w:t>
      </w:r>
      <w:r>
        <w:rPr>
          <w:rFonts w:hint="eastAsia" w:hAnsi="宋体"/>
          <w:color w:val="auto"/>
          <w:sz w:val="24"/>
          <w:highlight w:val="none"/>
        </w:rPr>
        <w:t>.1</w:t>
      </w:r>
      <w:r>
        <w:rPr>
          <w:rFonts w:hAnsi="宋体"/>
          <w:color w:val="auto"/>
          <w:sz w:val="24"/>
          <w:highlight w:val="none"/>
        </w:rPr>
        <w:t>“投标人须知前附表”规定</w:t>
      </w:r>
      <w:r>
        <w:rPr>
          <w:rFonts w:hint="eastAsia" w:hAnsi="宋体"/>
          <w:color w:val="auto"/>
          <w:sz w:val="24"/>
          <w:highlight w:val="none"/>
        </w:rPr>
        <w:t>允许分包的项目，投标人在中标后只能将项目的非主体、</w:t>
      </w:r>
      <w:r>
        <w:rPr>
          <w:rFonts w:ascii="inherit" w:hAnsi="inherit" w:cs="宋体"/>
          <w:color w:val="auto"/>
          <w:kern w:val="0"/>
          <w:sz w:val="24"/>
          <w:highlight w:val="none"/>
        </w:rPr>
        <w:t>非关键性工作分包</w:t>
      </w:r>
      <w:r>
        <w:rPr>
          <w:rFonts w:hint="eastAsia" w:ascii="inherit" w:hAnsi="inherit" w:cs="宋体"/>
          <w:color w:val="auto"/>
          <w:kern w:val="0"/>
          <w:sz w:val="24"/>
          <w:highlight w:val="none"/>
        </w:rPr>
        <w:t>。投标人</w:t>
      </w:r>
      <w:r>
        <w:rPr>
          <w:rFonts w:ascii="inherit" w:hAnsi="inherit" w:cs="宋体"/>
          <w:color w:val="auto"/>
          <w:kern w:val="0"/>
          <w:sz w:val="24"/>
          <w:highlight w:val="none"/>
        </w:rPr>
        <w:t>应当在投标文件中载明分包承担主体，分包承担主体应当具备相应资质条件且不得再次分包。</w:t>
      </w:r>
    </w:p>
    <w:p w14:paraId="72FCCCA8">
      <w:pPr>
        <w:spacing w:line="360" w:lineRule="auto"/>
        <w:jc w:val="left"/>
        <w:rPr>
          <w:rFonts w:hint="eastAsia" w:hAnsi="宋体"/>
          <w:color w:val="auto"/>
          <w:sz w:val="24"/>
          <w:highlight w:val="none"/>
        </w:rPr>
      </w:pPr>
      <w:r>
        <w:rPr>
          <w:rFonts w:hint="eastAsia" w:ascii="inherit" w:hAnsi="inherit" w:cs="宋体"/>
          <w:b/>
          <w:color w:val="auto"/>
          <w:kern w:val="0"/>
          <w:sz w:val="24"/>
          <w:highlight w:val="none"/>
        </w:rPr>
        <w:t xml:space="preserve">19. </w:t>
      </w:r>
      <w:r>
        <w:rPr>
          <w:rFonts w:ascii="inherit" w:hAnsi="inherit" w:cs="宋体"/>
          <w:b/>
          <w:color w:val="auto"/>
          <w:kern w:val="0"/>
          <w:sz w:val="24"/>
          <w:highlight w:val="none"/>
        </w:rPr>
        <w:t>投标人应当遵循公平竞争的原则，不得恶意串通，不得妨碍其他投标人的竞争行为，不得损害采购人或者其他投标人的合法权益</w:t>
      </w:r>
      <w:r>
        <w:rPr>
          <w:rFonts w:ascii="inherit" w:hAnsi="inherit" w:cs="宋体"/>
          <w:color w:val="auto"/>
          <w:kern w:val="0"/>
          <w:sz w:val="24"/>
          <w:highlight w:val="none"/>
        </w:rPr>
        <w:t>。</w:t>
      </w:r>
    </w:p>
    <w:p w14:paraId="674439B9">
      <w:pPr>
        <w:spacing w:line="360" w:lineRule="auto"/>
        <w:jc w:val="left"/>
        <w:rPr>
          <w:rFonts w:hint="eastAsia" w:ascii="宋体" w:hAnsi="宋体"/>
          <w:b/>
          <w:color w:val="auto"/>
          <w:sz w:val="24"/>
          <w:highlight w:val="none"/>
        </w:rPr>
      </w:pPr>
      <w:r>
        <w:rPr>
          <w:rFonts w:ascii="宋体" w:hAnsi="宋体"/>
          <w:b/>
          <w:color w:val="auto"/>
          <w:sz w:val="24"/>
          <w:highlight w:val="none"/>
        </w:rPr>
        <w:t>20</w:t>
      </w:r>
      <w:r>
        <w:rPr>
          <w:rFonts w:hint="eastAsia" w:ascii="宋体" w:hAnsi="宋体"/>
          <w:b/>
          <w:color w:val="auto"/>
          <w:sz w:val="24"/>
          <w:highlight w:val="none"/>
        </w:rPr>
        <w:t>. 投标文件的编制</w:t>
      </w:r>
    </w:p>
    <w:p w14:paraId="3F674F3D">
      <w:pPr>
        <w:pStyle w:val="19"/>
        <w:rPr>
          <w:rFonts w:hint="eastAsia"/>
          <w:color w:val="auto"/>
          <w:highlight w:val="none"/>
        </w:rPr>
      </w:pPr>
      <w:r>
        <w:rPr>
          <w:rFonts w:hint="eastAsia"/>
          <w:color w:val="auto"/>
          <w:highlight w:val="none"/>
        </w:rPr>
        <w:t>20.1投标文件全部采用电子文档，投标人应安装客户端软件—“政采云电子交易客户端”，并按照招标文件和政采云电子交易平台的要求编制，编制后应进行电子签名及加密。</w:t>
      </w:r>
    </w:p>
    <w:p w14:paraId="7957B99D">
      <w:pPr>
        <w:pStyle w:val="19"/>
        <w:rPr>
          <w:rFonts w:hint="eastAsia"/>
          <w:color w:val="auto"/>
          <w:highlight w:val="none"/>
        </w:rPr>
      </w:pPr>
      <w:r>
        <w:rPr>
          <w:rFonts w:hint="eastAsia"/>
          <w:color w:val="auto"/>
          <w:highlight w:val="none"/>
        </w:rPr>
        <w:t>★20.2如投标人提交的电子标书不符合20.1要求或开标时无法读取导入或解密，其投标文件将不予受理。</w:t>
      </w:r>
    </w:p>
    <w:p w14:paraId="3578AFCD">
      <w:pPr>
        <w:pStyle w:val="19"/>
        <w:rPr>
          <w:rFonts w:hint="eastAsia"/>
          <w:color w:val="auto"/>
          <w:highlight w:val="none"/>
        </w:rPr>
      </w:pPr>
      <w:r>
        <w:rPr>
          <w:rFonts w:hint="eastAsia"/>
          <w:color w:val="auto"/>
          <w:highlight w:val="none"/>
        </w:rPr>
        <w:t>20.3投标文件应尽量避免涂改、行间插字或删除。如果出现上述情况，改动之处应加盖单位章或由投标人的法定代表人/单位负责人（签名或盖章）确认。</w:t>
      </w:r>
    </w:p>
    <w:p w14:paraId="71FD175F">
      <w:pPr>
        <w:spacing w:line="360" w:lineRule="auto"/>
        <w:jc w:val="left"/>
        <w:rPr>
          <w:rFonts w:hint="eastAsia" w:ascii="宋体" w:hAnsi="宋体"/>
          <w:color w:val="auto"/>
          <w:sz w:val="24"/>
          <w:highlight w:val="none"/>
        </w:rPr>
      </w:pPr>
      <w:r>
        <w:rPr>
          <w:rFonts w:hint="eastAsia" w:ascii="宋体" w:hAnsi="宋体"/>
          <w:b/>
          <w:color w:val="auto"/>
          <w:sz w:val="24"/>
          <w:highlight w:val="none"/>
        </w:rPr>
        <w:t>★</w:t>
      </w:r>
      <w:r>
        <w:rPr>
          <w:rFonts w:ascii="宋体" w:hAnsi="宋体"/>
          <w:color w:val="auto"/>
          <w:sz w:val="24"/>
          <w:highlight w:val="none"/>
        </w:rPr>
        <w:t>20</w:t>
      </w:r>
      <w:r>
        <w:rPr>
          <w:rFonts w:hint="eastAsia" w:ascii="宋体" w:hAnsi="宋体"/>
          <w:color w:val="auto"/>
          <w:sz w:val="24"/>
          <w:highlight w:val="none"/>
        </w:rPr>
        <w:t>.4关键内容字迹潦草、表达不清、未按要求填写而导致非唯一理解，视为未实质性响应招标文件的投标文件。</w:t>
      </w:r>
    </w:p>
    <w:p w14:paraId="157697CB">
      <w:pPr>
        <w:spacing w:line="360" w:lineRule="auto"/>
        <w:jc w:val="left"/>
        <w:rPr>
          <w:rFonts w:hint="eastAsia" w:ascii="宋体" w:hAnsi="宋体"/>
          <w:bCs/>
          <w:color w:val="auto"/>
          <w:sz w:val="24"/>
          <w:highlight w:val="none"/>
        </w:rPr>
      </w:pPr>
      <w:r>
        <w:rPr>
          <w:rFonts w:ascii="宋体" w:hAnsi="宋体"/>
          <w:color w:val="auto"/>
          <w:sz w:val="24"/>
          <w:highlight w:val="none"/>
        </w:rPr>
        <w:t>20</w:t>
      </w:r>
      <w:r>
        <w:rPr>
          <w:rFonts w:hint="eastAsia" w:ascii="宋体" w:hAnsi="宋体"/>
          <w:color w:val="auto"/>
          <w:sz w:val="24"/>
          <w:highlight w:val="none"/>
        </w:rPr>
        <w:t>.5投标文件中提</w:t>
      </w:r>
      <w:r>
        <w:rPr>
          <w:rFonts w:hint="eastAsia" w:ascii="宋体" w:hAnsi="宋体"/>
          <w:bCs/>
          <w:color w:val="auto"/>
          <w:sz w:val="24"/>
          <w:highlight w:val="none"/>
        </w:rPr>
        <w:t>供的资料（扫描件），内容必须清晰可辨，若内容模糊，无法辨识，均视为未提供。</w:t>
      </w:r>
    </w:p>
    <w:p w14:paraId="01A9F907">
      <w:pPr>
        <w:pStyle w:val="19"/>
        <w:rPr>
          <w:rFonts w:hint="eastAsia"/>
          <w:color w:val="auto"/>
          <w:highlight w:val="none"/>
        </w:rPr>
      </w:pPr>
      <w:r>
        <w:rPr>
          <w:color w:val="auto"/>
          <w:highlight w:val="none"/>
        </w:rPr>
        <w:t>20</w:t>
      </w:r>
      <w:r>
        <w:rPr>
          <w:rFonts w:hint="eastAsia"/>
          <w:color w:val="auto"/>
          <w:highlight w:val="none"/>
        </w:rPr>
        <w:t>.</w:t>
      </w:r>
      <w:r>
        <w:rPr>
          <w:color w:val="auto"/>
          <w:highlight w:val="none"/>
        </w:rPr>
        <w:t>6</w:t>
      </w:r>
      <w:r>
        <w:rPr>
          <w:rFonts w:hint="eastAsia"/>
          <w:color w:val="auto"/>
          <w:highlight w:val="none"/>
        </w:rPr>
        <w:t>投标文件应由法定代表人/单位负责人在凡规定（电子签名）处逐一签名或电子签章，要求盖章处应盖单位章（电子签章）。</w:t>
      </w:r>
    </w:p>
    <w:p w14:paraId="70C33072">
      <w:pPr>
        <w:spacing w:line="360" w:lineRule="auto"/>
        <w:jc w:val="left"/>
        <w:rPr>
          <w:rFonts w:hint="eastAsia" w:ascii="宋体" w:hAnsi="宋体"/>
          <w:b/>
          <w:color w:val="auto"/>
          <w:sz w:val="24"/>
          <w:highlight w:val="none"/>
        </w:rPr>
      </w:pPr>
      <w:r>
        <w:rPr>
          <w:rFonts w:ascii="宋体" w:hAnsi="宋体"/>
          <w:b/>
          <w:color w:val="auto"/>
          <w:sz w:val="24"/>
          <w:highlight w:val="none"/>
        </w:rPr>
        <w:t>21</w:t>
      </w:r>
      <w:r>
        <w:rPr>
          <w:rFonts w:hint="eastAsia" w:ascii="宋体" w:hAnsi="宋体"/>
          <w:b/>
          <w:color w:val="auto"/>
          <w:sz w:val="24"/>
          <w:highlight w:val="none"/>
        </w:rPr>
        <w:t>. 投标保证金</w:t>
      </w:r>
    </w:p>
    <w:p w14:paraId="0B267A62">
      <w:pPr>
        <w:pStyle w:val="19"/>
        <w:rPr>
          <w:rFonts w:hint="eastAsia"/>
          <w:color w:val="auto"/>
          <w:highlight w:val="none"/>
        </w:rPr>
      </w:pPr>
      <w:r>
        <w:rPr>
          <w:rFonts w:hint="eastAsia"/>
          <w:color w:val="auto"/>
          <w:sz w:val="21"/>
          <w:szCs w:val="21"/>
          <w:highlight w:val="none"/>
        </w:rPr>
        <w:t>★</w:t>
      </w:r>
      <w:r>
        <w:rPr>
          <w:color w:val="auto"/>
          <w:highlight w:val="none"/>
        </w:rPr>
        <w:t>21</w:t>
      </w:r>
      <w:r>
        <w:rPr>
          <w:rFonts w:hint="eastAsia"/>
          <w:color w:val="auto"/>
          <w:highlight w:val="none"/>
        </w:rPr>
        <w:t>.1投标保证金为人民币。投标人应在提交投标文件截止时间以前按“</w:t>
      </w:r>
      <w:r>
        <w:rPr>
          <w:rFonts w:hint="eastAsia"/>
          <w:b/>
          <w:color w:val="auto"/>
          <w:highlight w:val="none"/>
        </w:rPr>
        <w:t>投标人须知前附表</w:t>
      </w:r>
      <w:r>
        <w:rPr>
          <w:rFonts w:hint="eastAsia"/>
          <w:color w:val="auto"/>
          <w:highlight w:val="none"/>
        </w:rPr>
        <w:t>”的规定提交，并在规定的时间内保持有效。</w:t>
      </w:r>
    </w:p>
    <w:p w14:paraId="5E31AF15">
      <w:pPr>
        <w:pStyle w:val="19"/>
        <w:rPr>
          <w:rFonts w:hint="eastAsia"/>
          <w:color w:val="auto"/>
          <w:highlight w:val="none"/>
        </w:rPr>
      </w:pPr>
      <w:r>
        <w:rPr>
          <w:color w:val="auto"/>
          <w:highlight w:val="none"/>
        </w:rPr>
        <w:t>21</w:t>
      </w:r>
      <w:r>
        <w:rPr>
          <w:rFonts w:hint="eastAsia"/>
          <w:color w:val="auto"/>
          <w:highlight w:val="none"/>
        </w:rPr>
        <w:t>.2</w:t>
      </w:r>
      <w:r>
        <w:rPr>
          <w:color w:val="auto"/>
          <w:highlight w:val="none"/>
        </w:rPr>
        <w:t>投标人在投标截止时间前撤回已提交的投标文件的，采购代理机构</w:t>
      </w:r>
      <w:r>
        <w:rPr>
          <w:rFonts w:hint="eastAsia"/>
          <w:color w:val="auto"/>
          <w:highlight w:val="none"/>
        </w:rPr>
        <w:t>将</w:t>
      </w:r>
      <w:r>
        <w:rPr>
          <w:color w:val="auto"/>
          <w:highlight w:val="none"/>
        </w:rPr>
        <w:t>在自收到投标人书面撤回通知之日起</w:t>
      </w:r>
      <w:r>
        <w:rPr>
          <w:rFonts w:hint="eastAsia"/>
          <w:color w:val="auto"/>
          <w:highlight w:val="none"/>
        </w:rPr>
        <w:t>5</w:t>
      </w:r>
      <w:r>
        <w:rPr>
          <w:color w:val="auto"/>
          <w:highlight w:val="none"/>
        </w:rPr>
        <w:t>个工作日内，退还已收取的投标保证金，但因投标人自身原因导致无法及时退还的除外</w:t>
      </w:r>
      <w:r>
        <w:rPr>
          <w:rFonts w:hint="eastAsia"/>
          <w:color w:val="auto"/>
          <w:highlight w:val="none"/>
        </w:rPr>
        <w:t>。</w:t>
      </w:r>
    </w:p>
    <w:p w14:paraId="33169C49">
      <w:pPr>
        <w:pStyle w:val="19"/>
        <w:rPr>
          <w:rFonts w:hint="eastAsia"/>
          <w:color w:val="auto"/>
          <w:highlight w:val="none"/>
        </w:rPr>
      </w:pPr>
      <w:r>
        <w:rPr>
          <w:color w:val="auto"/>
          <w:highlight w:val="none"/>
        </w:rPr>
        <w:t>21</w:t>
      </w:r>
      <w:r>
        <w:rPr>
          <w:rFonts w:hint="eastAsia"/>
          <w:color w:val="auto"/>
          <w:highlight w:val="none"/>
        </w:rPr>
        <w:t>.3未中标人的投标保证金将在中标公告发出后5个工作日退还；中标人的投标保证金将在</w:t>
      </w:r>
      <w:r>
        <w:rPr>
          <w:rFonts w:ascii="inherit" w:hAnsi="inherit" w:cs="宋体"/>
          <w:color w:val="auto"/>
          <w:kern w:val="0"/>
          <w:highlight w:val="none"/>
        </w:rPr>
        <w:t>采购合同签订之日起5个工作日内退还</w:t>
      </w:r>
      <w:r>
        <w:rPr>
          <w:rFonts w:hint="eastAsia" w:ascii="inherit" w:hAnsi="inherit" w:cs="宋体"/>
          <w:color w:val="auto"/>
          <w:kern w:val="0"/>
          <w:highlight w:val="none"/>
        </w:rPr>
        <w:t>，</w:t>
      </w:r>
      <w:r>
        <w:rPr>
          <w:rFonts w:ascii="inherit" w:hAnsi="inherit" w:cs="宋体"/>
          <w:color w:val="auto"/>
          <w:kern w:val="0"/>
          <w:highlight w:val="none"/>
        </w:rPr>
        <w:t>保证金的退还方式详见投标人须知前附表</w:t>
      </w:r>
      <w:r>
        <w:rPr>
          <w:rFonts w:hint="eastAsia"/>
          <w:color w:val="auto"/>
          <w:highlight w:val="none"/>
        </w:rPr>
        <w:t>。</w:t>
      </w:r>
    </w:p>
    <w:p w14:paraId="05766654">
      <w:pPr>
        <w:pStyle w:val="19"/>
        <w:rPr>
          <w:rFonts w:hint="eastAsia"/>
          <w:color w:val="auto"/>
          <w:highlight w:val="none"/>
        </w:rPr>
      </w:pPr>
      <w:r>
        <w:rPr>
          <w:color w:val="auto"/>
          <w:highlight w:val="none"/>
        </w:rPr>
        <w:t>21</w:t>
      </w:r>
      <w:r>
        <w:rPr>
          <w:rFonts w:hint="eastAsia"/>
          <w:color w:val="auto"/>
          <w:highlight w:val="none"/>
        </w:rPr>
        <w:t>.4</w:t>
      </w:r>
      <w:r>
        <w:rPr>
          <w:color w:val="auto"/>
          <w:highlight w:val="none"/>
        </w:rPr>
        <w:t>采购代理机构逾期退还投标保证金的，除退还投标保证金本金外，还</w:t>
      </w:r>
      <w:r>
        <w:rPr>
          <w:rFonts w:hint="eastAsia"/>
          <w:color w:val="auto"/>
          <w:highlight w:val="none"/>
        </w:rPr>
        <w:t>将</w:t>
      </w:r>
      <w:r>
        <w:rPr>
          <w:color w:val="auto"/>
          <w:highlight w:val="none"/>
        </w:rPr>
        <w:t>按中国人民银行同期贷款基准利率上浮20％后的利率支付超期资金占用费，但因投标人自身原因导致无法及时退还的除外。</w:t>
      </w:r>
    </w:p>
    <w:p w14:paraId="2A4054C5">
      <w:pPr>
        <w:pStyle w:val="19"/>
        <w:rPr>
          <w:rFonts w:hint="eastAsia"/>
          <w:color w:val="auto"/>
          <w:highlight w:val="none"/>
        </w:rPr>
      </w:pPr>
      <w:r>
        <w:rPr>
          <w:color w:val="auto"/>
          <w:highlight w:val="none"/>
        </w:rPr>
        <w:t>21</w:t>
      </w:r>
      <w:r>
        <w:rPr>
          <w:rFonts w:hint="eastAsia"/>
          <w:color w:val="auto"/>
          <w:highlight w:val="none"/>
        </w:rPr>
        <w:t>.</w:t>
      </w:r>
      <w:r>
        <w:rPr>
          <w:color w:val="auto"/>
          <w:highlight w:val="none"/>
        </w:rPr>
        <w:t>5</w:t>
      </w:r>
      <w:r>
        <w:rPr>
          <w:rFonts w:hint="eastAsia"/>
          <w:color w:val="auto"/>
          <w:highlight w:val="none"/>
        </w:rPr>
        <w:t>下列情况发生时，投标保证金将不予退还</w:t>
      </w:r>
    </w:p>
    <w:p w14:paraId="0100E283">
      <w:pPr>
        <w:pStyle w:val="19"/>
        <w:rPr>
          <w:rFonts w:hint="eastAsia"/>
          <w:color w:val="auto"/>
          <w:highlight w:val="none"/>
        </w:rPr>
      </w:pPr>
      <w:r>
        <w:rPr>
          <w:rFonts w:hint="eastAsia"/>
          <w:color w:val="auto"/>
          <w:highlight w:val="none"/>
        </w:rPr>
        <w:t>（1）投标人在投标有效期内要求撤回投标的；</w:t>
      </w:r>
    </w:p>
    <w:p w14:paraId="19FE6002">
      <w:pPr>
        <w:spacing w:line="360" w:lineRule="auto"/>
        <w:rPr>
          <w:rFonts w:hint="eastAsia" w:ascii="宋体" w:hAnsi="宋体"/>
          <w:color w:val="auto"/>
          <w:sz w:val="24"/>
          <w:highlight w:val="none"/>
        </w:rPr>
      </w:pPr>
      <w:r>
        <w:rPr>
          <w:rFonts w:hint="eastAsia" w:ascii="宋体" w:hAnsi="宋体"/>
          <w:color w:val="auto"/>
          <w:sz w:val="24"/>
          <w:highlight w:val="none"/>
        </w:rPr>
        <w:t>（2）中标人在收到中标通知书后，无不正当理由不与采购人签订合同。在签订合同时向采购人提出附加条件，或者不按照招标文件要求提交履约保证金；</w:t>
      </w:r>
      <w:r>
        <w:rPr>
          <w:rFonts w:ascii="宋体" w:hAnsi="宋体"/>
          <w:color w:val="auto"/>
          <w:sz w:val="24"/>
          <w:highlight w:val="none"/>
        </w:rPr>
        <w:t xml:space="preserve"> </w:t>
      </w:r>
    </w:p>
    <w:p w14:paraId="4EB5EAD8">
      <w:pPr>
        <w:spacing w:line="360" w:lineRule="auto"/>
        <w:rPr>
          <w:rFonts w:hint="eastAsia" w:ascii="宋体" w:hAnsi="宋体"/>
          <w:color w:val="auto"/>
          <w:sz w:val="24"/>
          <w:highlight w:val="none"/>
        </w:rPr>
      </w:pPr>
      <w:r>
        <w:rPr>
          <w:rFonts w:hint="eastAsia" w:ascii="宋体" w:hAnsi="宋体"/>
          <w:color w:val="auto"/>
          <w:sz w:val="24"/>
          <w:highlight w:val="none"/>
        </w:rPr>
        <w:t>（3）中标人将中标项目转让给他人，或者在投标文件中未说明，且未经采购人同意，将中标项目分包给他人的；</w:t>
      </w:r>
    </w:p>
    <w:p w14:paraId="33FF35B3">
      <w:pPr>
        <w:pStyle w:val="19"/>
        <w:rPr>
          <w:rFonts w:hint="eastAsia"/>
          <w:color w:val="auto"/>
          <w:highlight w:val="none"/>
        </w:rPr>
      </w:pPr>
      <w:r>
        <w:rPr>
          <w:rFonts w:hint="eastAsia"/>
          <w:color w:val="auto"/>
          <w:highlight w:val="none"/>
        </w:rPr>
        <w:t>（4）其他法律法规要求不予退还保证金的情形。</w:t>
      </w:r>
    </w:p>
    <w:p w14:paraId="60BBF249">
      <w:pPr>
        <w:pStyle w:val="19"/>
        <w:rPr>
          <w:rFonts w:hint="eastAsia"/>
          <w:color w:val="auto"/>
          <w:highlight w:val="none"/>
        </w:rPr>
      </w:pPr>
    </w:p>
    <w:p w14:paraId="254AC7B1">
      <w:pPr>
        <w:pStyle w:val="5"/>
        <w:rPr>
          <w:color w:val="auto"/>
          <w:highlight w:val="none"/>
        </w:rPr>
      </w:pPr>
      <w:bookmarkStart w:id="47" w:name="_Toc7350"/>
      <w:bookmarkStart w:id="48" w:name="_Toc141099644"/>
      <w:bookmarkStart w:id="49" w:name="_Toc101004085"/>
      <w:bookmarkStart w:id="50" w:name="_Toc33095533"/>
      <w:r>
        <w:rPr>
          <w:rFonts w:hint="eastAsia"/>
          <w:color w:val="auto"/>
          <w:highlight w:val="none"/>
        </w:rPr>
        <w:t>四、投标文件的提交</w:t>
      </w:r>
      <w:bookmarkEnd w:id="47"/>
      <w:bookmarkEnd w:id="48"/>
      <w:bookmarkEnd w:id="49"/>
      <w:bookmarkEnd w:id="50"/>
    </w:p>
    <w:p w14:paraId="40DB9DBA">
      <w:pPr>
        <w:pStyle w:val="19"/>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 投标文件的密封与标记</w:t>
      </w:r>
    </w:p>
    <w:p w14:paraId="443ECCE6">
      <w:pPr>
        <w:pStyle w:val="19"/>
        <w:rPr>
          <w:rFonts w:hint="eastAsia"/>
          <w:b/>
          <w:bCs/>
          <w:color w:val="auto"/>
          <w:highlight w:val="none"/>
          <w:u w:val="single"/>
        </w:rPr>
      </w:pPr>
      <w:r>
        <w:rPr>
          <w:rFonts w:hint="eastAsia"/>
          <w:color w:val="auto"/>
          <w:highlight w:val="none"/>
        </w:rPr>
        <w:t>2</w:t>
      </w:r>
      <w:r>
        <w:rPr>
          <w:color w:val="auto"/>
          <w:highlight w:val="none"/>
        </w:rPr>
        <w:t>2</w:t>
      </w:r>
      <w:r>
        <w:rPr>
          <w:rFonts w:hint="eastAsia"/>
          <w:color w:val="auto"/>
          <w:highlight w:val="none"/>
        </w:rPr>
        <w:t>.1投标人进行电子交易应安装客户端软件—“政采云电子交易客户端”，并按照招标文件和电子交易平台的要求编制并加密投标文件。招标人未按规定加密的投标文件，电子交易平台将拒收并提示。</w:t>
      </w:r>
    </w:p>
    <w:p w14:paraId="384775B6">
      <w:pPr>
        <w:pStyle w:val="19"/>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.2使用“政采云电子交易客户端”需要提前申领 CA 数字证书，申领流程见该项目招标公告。</w:t>
      </w:r>
    </w:p>
    <w:p w14:paraId="287B9F03">
      <w:pPr>
        <w:pStyle w:val="19"/>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.3为确保网上操作合法、有效和安全，供应商应当在投标文件提交截止时间前完成在 “政府采购云平台”的身份认证，确保在电子交易过程中能够对相关数据电文进行加密和使用电子签名。</w:t>
      </w:r>
    </w:p>
    <w:p w14:paraId="298FEC0A">
      <w:pPr>
        <w:spacing w:line="360" w:lineRule="auto"/>
        <w:jc w:val="left"/>
        <w:rPr>
          <w:rFonts w:hint="eastAsia" w:ascii="宋体" w:hAnsi="宋体"/>
          <w:b/>
          <w:color w:val="auto"/>
          <w:sz w:val="24"/>
          <w:highlight w:val="none"/>
        </w:rPr>
      </w:pPr>
      <w:r>
        <w:rPr>
          <w:rFonts w:hint="eastAsia" w:ascii="宋体" w:hAnsi="宋体"/>
          <w:b/>
          <w:color w:val="auto"/>
          <w:sz w:val="24"/>
          <w:highlight w:val="none"/>
        </w:rPr>
        <w:t>2</w:t>
      </w:r>
      <w:r>
        <w:rPr>
          <w:rFonts w:ascii="宋体" w:hAnsi="宋体"/>
          <w:b/>
          <w:color w:val="auto"/>
          <w:sz w:val="24"/>
          <w:highlight w:val="none"/>
        </w:rPr>
        <w:t>3</w:t>
      </w:r>
      <w:r>
        <w:rPr>
          <w:rFonts w:hint="eastAsia" w:ascii="宋体" w:hAnsi="宋体"/>
          <w:b/>
          <w:color w:val="auto"/>
          <w:sz w:val="24"/>
          <w:highlight w:val="none"/>
        </w:rPr>
        <w:t>. 提交投标文件截止时间和地点</w:t>
      </w:r>
    </w:p>
    <w:p w14:paraId="115F0D15">
      <w:pPr>
        <w:pStyle w:val="19"/>
        <w:rPr>
          <w:rFonts w:hint="eastAsia"/>
          <w:b/>
          <w:color w:val="auto"/>
          <w:highlight w:val="none"/>
        </w:rPr>
      </w:pPr>
      <w:r>
        <w:rPr>
          <w:rFonts w:hint="eastAsia"/>
          <w:color w:val="auto"/>
          <w:highlight w:val="none"/>
        </w:rPr>
        <w:t>2</w:t>
      </w:r>
      <w:r>
        <w:rPr>
          <w:color w:val="auto"/>
          <w:highlight w:val="none"/>
        </w:rPr>
        <w:t>3</w:t>
      </w:r>
      <w:r>
        <w:rPr>
          <w:rFonts w:hint="eastAsia"/>
          <w:color w:val="auto"/>
          <w:highlight w:val="none"/>
        </w:rPr>
        <w:t>.1投标文件的递交/上传不得迟于“投标人须知前附表”规定的递交投标文件截止时间。逾期送达/上传的投标文件，采购人不予接收。</w:t>
      </w:r>
    </w:p>
    <w:p w14:paraId="0685A31E">
      <w:pPr>
        <w:pStyle w:val="19"/>
        <w:rPr>
          <w:rFonts w:hint="eastAsia"/>
          <w:color w:val="auto"/>
          <w:highlight w:val="none"/>
        </w:rPr>
      </w:pPr>
      <w:r>
        <w:rPr>
          <w:rFonts w:hint="eastAsia"/>
          <w:color w:val="auto"/>
          <w:highlight w:val="none"/>
        </w:rPr>
        <w:t>2</w:t>
      </w:r>
      <w:r>
        <w:rPr>
          <w:color w:val="auto"/>
          <w:highlight w:val="none"/>
        </w:rPr>
        <w:t>3</w:t>
      </w:r>
      <w:r>
        <w:rPr>
          <w:rFonts w:hint="eastAsia"/>
          <w:color w:val="auto"/>
          <w:highlight w:val="none"/>
        </w:rPr>
        <w:t>.2投标人必须在规定时间内将投标文件递交/上传到“投标人须知前附表”规定的地点。</w:t>
      </w:r>
    </w:p>
    <w:p w14:paraId="4FCF6A1F">
      <w:pPr>
        <w:spacing w:line="360" w:lineRule="auto"/>
        <w:jc w:val="left"/>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3.3</w:t>
      </w:r>
      <w:r>
        <w:rPr>
          <w:rFonts w:hint="eastAsia" w:ascii="宋体" w:hAnsi="宋体"/>
          <w:color w:val="auto"/>
          <w:sz w:val="24"/>
          <w:highlight w:val="none"/>
        </w:rPr>
        <w:t>除“</w:t>
      </w:r>
      <w:r>
        <w:rPr>
          <w:rFonts w:hint="eastAsia" w:hAnsi="宋体"/>
          <w:color w:val="auto"/>
          <w:sz w:val="24"/>
          <w:highlight w:val="none"/>
        </w:rPr>
        <w:t>投标人</w:t>
      </w:r>
      <w:r>
        <w:rPr>
          <w:rFonts w:hint="eastAsia" w:ascii="宋体" w:hAnsi="宋体"/>
          <w:color w:val="auto"/>
          <w:sz w:val="24"/>
          <w:highlight w:val="none"/>
        </w:rPr>
        <w:t>须知前附表”另有规定外，投标人所递交的投标文件不予退还。</w:t>
      </w:r>
    </w:p>
    <w:p w14:paraId="63271840">
      <w:pPr>
        <w:spacing w:line="360" w:lineRule="auto"/>
        <w:jc w:val="left"/>
        <w:rPr>
          <w:rFonts w:hint="eastAsia" w:ascii="宋体" w:hAnsi="宋体"/>
          <w:color w:val="auto"/>
          <w:sz w:val="24"/>
          <w:highlight w:val="none"/>
        </w:rPr>
      </w:pPr>
      <w:r>
        <w:rPr>
          <w:rFonts w:hint="eastAsia" w:ascii="宋体" w:hAnsi="宋体"/>
          <w:color w:val="auto"/>
          <w:sz w:val="24"/>
          <w:highlight w:val="none"/>
        </w:rPr>
        <w:t>23.4在投标截止时间前，投标人可以撤回在网上已递交的投标文件，修改后重新上传，无须书面形式通知采购人。</w:t>
      </w:r>
    </w:p>
    <w:p w14:paraId="6DDA4C27">
      <w:pPr>
        <w:spacing w:line="360" w:lineRule="auto"/>
        <w:jc w:val="left"/>
        <w:rPr>
          <w:rFonts w:hint="eastAsia" w:ascii="宋体" w:hAnsi="宋体"/>
          <w:color w:val="auto"/>
          <w:sz w:val="24"/>
          <w:highlight w:val="none"/>
        </w:rPr>
      </w:pPr>
      <w:r>
        <w:rPr>
          <w:rFonts w:hint="eastAsia" w:ascii="宋体" w:hAnsi="宋体"/>
          <w:color w:val="auto"/>
          <w:sz w:val="24"/>
          <w:highlight w:val="none"/>
        </w:rPr>
        <w:t>23.5修改的投标文件应按照本章第20款、第22款的要求进行重新编制、加密和递交。</w:t>
      </w:r>
    </w:p>
    <w:p w14:paraId="6AA86C80">
      <w:pPr>
        <w:spacing w:line="360" w:lineRule="auto"/>
        <w:jc w:val="left"/>
        <w:rPr>
          <w:rFonts w:hint="eastAsia" w:ascii="宋体" w:hAnsi="宋体"/>
          <w:color w:val="auto"/>
          <w:sz w:val="24"/>
          <w:highlight w:val="none"/>
        </w:rPr>
      </w:pPr>
      <w:r>
        <w:rPr>
          <w:rFonts w:hint="eastAsia" w:ascii="宋体" w:hAnsi="宋体"/>
          <w:color w:val="auto"/>
          <w:sz w:val="24"/>
          <w:highlight w:val="none"/>
        </w:rPr>
        <w:t>23.6在投标截止时间后递交的投标文件不予撤回。</w:t>
      </w:r>
    </w:p>
    <w:p w14:paraId="5A575FE9">
      <w:pPr>
        <w:pStyle w:val="19"/>
        <w:rPr>
          <w:rFonts w:hint="eastAsia"/>
          <w:color w:val="auto"/>
          <w:highlight w:val="none"/>
        </w:rPr>
      </w:pPr>
    </w:p>
    <w:p w14:paraId="65075FAF">
      <w:pPr>
        <w:pStyle w:val="5"/>
        <w:rPr>
          <w:color w:val="auto"/>
          <w:highlight w:val="none"/>
        </w:rPr>
      </w:pPr>
      <w:bookmarkStart w:id="51" w:name="_Toc33095534"/>
      <w:bookmarkStart w:id="52" w:name="_Toc141099645"/>
      <w:bookmarkStart w:id="53" w:name="_Toc14443"/>
      <w:bookmarkStart w:id="54" w:name="_Toc101004086"/>
      <w:r>
        <w:rPr>
          <w:rFonts w:hint="eastAsia"/>
          <w:color w:val="auto"/>
          <w:highlight w:val="none"/>
        </w:rPr>
        <w:t>五、开标与评标</w:t>
      </w:r>
      <w:bookmarkEnd w:id="51"/>
      <w:bookmarkEnd w:id="52"/>
      <w:bookmarkEnd w:id="53"/>
      <w:bookmarkEnd w:id="54"/>
    </w:p>
    <w:p w14:paraId="66EEA7F2">
      <w:pPr>
        <w:spacing w:line="360" w:lineRule="auto"/>
        <w:jc w:val="left"/>
        <w:rPr>
          <w:rFonts w:hint="eastAsia" w:ascii="宋体" w:hAnsi="宋体"/>
          <w:b/>
          <w:color w:val="auto"/>
          <w:sz w:val="24"/>
          <w:highlight w:val="none"/>
        </w:rPr>
      </w:pPr>
      <w:r>
        <w:rPr>
          <w:rFonts w:hint="eastAsia" w:ascii="宋体" w:hAnsi="宋体"/>
          <w:b/>
          <w:color w:val="auto"/>
          <w:sz w:val="24"/>
          <w:highlight w:val="none"/>
        </w:rPr>
        <w:t>2</w:t>
      </w:r>
      <w:r>
        <w:rPr>
          <w:rFonts w:ascii="宋体" w:hAnsi="宋体"/>
          <w:b/>
          <w:color w:val="auto"/>
          <w:sz w:val="24"/>
          <w:highlight w:val="none"/>
        </w:rPr>
        <w:t>4</w:t>
      </w:r>
      <w:r>
        <w:rPr>
          <w:rFonts w:hint="eastAsia" w:ascii="宋体" w:hAnsi="宋体"/>
          <w:b/>
          <w:color w:val="auto"/>
          <w:sz w:val="24"/>
          <w:highlight w:val="none"/>
        </w:rPr>
        <w:t>. 开标</w:t>
      </w:r>
    </w:p>
    <w:p w14:paraId="6CADD3EA">
      <w:pPr>
        <w:pStyle w:val="19"/>
        <w:rPr>
          <w:rFonts w:hint="eastAsia"/>
          <w:color w:val="auto"/>
          <w:highlight w:val="none"/>
        </w:rPr>
      </w:pPr>
      <w:r>
        <w:rPr>
          <w:rFonts w:hint="eastAsia"/>
          <w:color w:val="auto"/>
          <w:highlight w:val="none"/>
        </w:rPr>
        <w:t>2</w:t>
      </w:r>
      <w:r>
        <w:rPr>
          <w:color w:val="auto"/>
          <w:highlight w:val="none"/>
        </w:rPr>
        <w:t>4</w:t>
      </w:r>
      <w:r>
        <w:rPr>
          <w:rFonts w:hint="eastAsia"/>
          <w:color w:val="auto"/>
          <w:highlight w:val="none"/>
        </w:rPr>
        <w:t>.1采购代理机构将在“投标人须知前附表”规定的时间和地点进行开标，请各投标人代表准时参加线上开标会。</w:t>
      </w:r>
    </w:p>
    <w:p w14:paraId="63A7B284">
      <w:pPr>
        <w:spacing w:line="360" w:lineRule="auto"/>
        <w:jc w:val="left"/>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4</w:t>
      </w:r>
      <w:r>
        <w:rPr>
          <w:rFonts w:hint="eastAsia" w:ascii="宋体" w:hAnsi="宋体"/>
          <w:color w:val="auto"/>
          <w:sz w:val="24"/>
          <w:highlight w:val="none"/>
        </w:rPr>
        <w:t>.2投标截止后投标人不足3家的，不得开标。</w:t>
      </w:r>
    </w:p>
    <w:p w14:paraId="33784B32">
      <w:pPr>
        <w:pStyle w:val="19"/>
        <w:rPr>
          <w:rFonts w:hint="eastAsia"/>
          <w:color w:val="auto"/>
          <w:highlight w:val="none"/>
        </w:rPr>
      </w:pPr>
      <w:r>
        <w:rPr>
          <w:rFonts w:hint="eastAsia"/>
          <w:color w:val="auto"/>
          <w:highlight w:val="none"/>
        </w:rPr>
        <w:t>24.3开标会：开标会由采购代理机构主持，具体流程如下：</w:t>
      </w:r>
    </w:p>
    <w:p w14:paraId="28E97D74">
      <w:pPr>
        <w:pStyle w:val="19"/>
        <w:rPr>
          <w:rFonts w:hint="eastAsia"/>
          <w:color w:val="auto"/>
          <w:highlight w:val="none"/>
        </w:rPr>
      </w:pPr>
      <w:r>
        <w:rPr>
          <w:rFonts w:hint="eastAsia"/>
          <w:color w:val="auto"/>
          <w:highlight w:val="none"/>
        </w:rPr>
        <w:t>（1）采购代理机构依托电子交易平台发起开始解密指令，投标人须使用加密时所用的 CA 锁按平台提示和招标文件的规定登录到“政采云”平台电子开标大厅签到，并在发起解密指令之时起 60 分钟内完成对电子投标文件在线解密。</w:t>
      </w:r>
    </w:p>
    <w:p w14:paraId="207E9F23">
      <w:pPr>
        <w:pStyle w:val="19"/>
        <w:rPr>
          <w:rFonts w:hint="eastAsia"/>
          <w:color w:val="auto"/>
          <w:highlight w:val="none"/>
        </w:rPr>
      </w:pPr>
      <w:r>
        <w:rPr>
          <w:rFonts w:hint="eastAsia"/>
          <w:color w:val="auto"/>
          <w:highlight w:val="none"/>
        </w:rPr>
        <w:t>（2）发起解密指令之时起 5 分钟内投标人还未进行解密的，代理机构可通知投标人，投标人未预留联系方式或预留联系方式无效，导致代理机构无法联系到投标人进行解密的，视为撤回投标文件。</w:t>
      </w:r>
    </w:p>
    <w:p w14:paraId="34ABCCF2">
      <w:pPr>
        <w:pStyle w:val="19"/>
        <w:rPr>
          <w:rFonts w:hint="eastAsia"/>
          <w:color w:val="auto"/>
          <w:highlight w:val="none"/>
        </w:rPr>
      </w:pPr>
      <w:r>
        <w:rPr>
          <w:rFonts w:hint="eastAsia"/>
          <w:color w:val="auto"/>
          <w:highlight w:val="none"/>
        </w:rPr>
        <w:t>（解密异常情况处理：详见本章 27.2电子交易活动的中止） 如投标人成功解密投标文件，但未在“政采云”电子开标大厅参加开标的，视同认可开标过程和结果，由此产生的后果由投标人自行负责。</w:t>
      </w:r>
    </w:p>
    <w:p w14:paraId="3DE2217A">
      <w:pPr>
        <w:pStyle w:val="19"/>
        <w:rPr>
          <w:rFonts w:hint="eastAsia"/>
          <w:color w:val="auto"/>
          <w:highlight w:val="none"/>
        </w:rPr>
      </w:pPr>
      <w:r>
        <w:rPr>
          <w:rFonts w:hint="eastAsia"/>
          <w:color w:val="auto"/>
          <w:highlight w:val="none"/>
        </w:rPr>
        <w:t>24.4 开标工作人员将做开标记录。</w:t>
      </w:r>
    </w:p>
    <w:p w14:paraId="272B1CB0">
      <w:pPr>
        <w:pStyle w:val="19"/>
        <w:rPr>
          <w:rFonts w:hint="eastAsia"/>
          <w:color w:val="auto"/>
          <w:highlight w:val="none"/>
        </w:rPr>
      </w:pPr>
      <w:r>
        <w:rPr>
          <w:rFonts w:hint="eastAsia"/>
          <w:color w:val="auto"/>
          <w:highlight w:val="none"/>
        </w:rPr>
        <w:t>24.5 投标人代表对开标过程和开标记录有疑义，以及认为采购人、采购代理机构相关工作人员有需要回避的情形的，应在线提出询问或者回避申请。采购人、采购代理机构对投标人代表提出的询问或者回避申请应当及时处理。</w:t>
      </w:r>
    </w:p>
    <w:p w14:paraId="3BF85DD6">
      <w:pPr>
        <w:pStyle w:val="19"/>
        <w:rPr>
          <w:rFonts w:hint="eastAsia"/>
          <w:color w:val="auto"/>
          <w:highlight w:val="none"/>
        </w:rPr>
      </w:pPr>
      <w:r>
        <w:rPr>
          <w:rFonts w:hint="eastAsia"/>
          <w:color w:val="auto"/>
          <w:highlight w:val="none"/>
        </w:rPr>
        <w:t>25.资格审查</w:t>
      </w:r>
    </w:p>
    <w:p w14:paraId="4234A2AC">
      <w:pPr>
        <w:pStyle w:val="19"/>
        <w:rPr>
          <w:rFonts w:hint="eastAsia"/>
          <w:color w:val="auto"/>
          <w:highlight w:val="none"/>
        </w:rPr>
      </w:pPr>
      <w:r>
        <w:rPr>
          <w:rFonts w:hint="eastAsia"/>
          <w:color w:val="auto"/>
          <w:highlight w:val="none"/>
        </w:rPr>
        <w:t>25.1开标结束后，采购人或者采购代理机构应当按照“第六章 资格评审标准”依法对投标人的资格进行审查，合格投标人不足3家的，不得评标。</w:t>
      </w:r>
    </w:p>
    <w:p w14:paraId="785188B5">
      <w:pPr>
        <w:spacing w:line="360" w:lineRule="auto"/>
        <w:jc w:val="left"/>
        <w:rPr>
          <w:rFonts w:hint="eastAsia" w:ascii="宋体" w:hAnsi="宋体"/>
          <w:b/>
          <w:color w:val="auto"/>
          <w:sz w:val="24"/>
          <w:highlight w:val="none"/>
        </w:rPr>
      </w:pPr>
      <w:r>
        <w:rPr>
          <w:rFonts w:hint="eastAsia" w:ascii="宋体" w:hAnsi="宋体"/>
          <w:b/>
          <w:color w:val="auto"/>
          <w:sz w:val="24"/>
          <w:highlight w:val="none"/>
        </w:rPr>
        <w:t>26. 评标</w:t>
      </w:r>
    </w:p>
    <w:p w14:paraId="6AF67AFE">
      <w:pPr>
        <w:spacing w:line="360" w:lineRule="auto"/>
        <w:jc w:val="left"/>
        <w:rPr>
          <w:rFonts w:hint="eastAsia" w:ascii="宋体" w:hAnsi="宋体"/>
          <w:color w:val="auto"/>
          <w:sz w:val="24"/>
          <w:highlight w:val="none"/>
        </w:rPr>
      </w:pPr>
      <w:r>
        <w:rPr>
          <w:rFonts w:hint="eastAsia" w:ascii="宋体" w:hAnsi="宋体"/>
          <w:color w:val="auto"/>
          <w:sz w:val="24"/>
          <w:highlight w:val="none"/>
        </w:rPr>
        <w:t>26.1评标由采购人依法组建的评标委员会负责。评标委员会由采购人代表和有关技术、经济等方面的专家组成，成员人数应当为5人以上单数。其中，技术、经济等方面的专家不得少于成员总数的三分之二。评标委员会应当推选组长，但采购人代表不得担任组长。</w:t>
      </w:r>
    </w:p>
    <w:p w14:paraId="0CD94A34">
      <w:pPr>
        <w:spacing w:line="360" w:lineRule="auto"/>
        <w:jc w:val="left"/>
        <w:rPr>
          <w:rFonts w:hint="eastAsia" w:ascii="宋体" w:hAnsi="宋体"/>
          <w:color w:val="auto"/>
          <w:sz w:val="24"/>
          <w:highlight w:val="none"/>
        </w:rPr>
      </w:pPr>
      <w:r>
        <w:rPr>
          <w:rFonts w:hint="eastAsia" w:ascii="宋体" w:hAnsi="宋体"/>
          <w:color w:val="auto"/>
          <w:sz w:val="24"/>
          <w:highlight w:val="none"/>
        </w:rPr>
        <w:t>采购人委派代表参加评标委员会的，要向采购代理机构出具授权函。</w:t>
      </w:r>
    </w:p>
    <w:p w14:paraId="07005DF9">
      <w:pPr>
        <w:pStyle w:val="19"/>
        <w:rPr>
          <w:rFonts w:hint="eastAsia"/>
          <w:color w:val="auto"/>
          <w:highlight w:val="none"/>
        </w:rPr>
      </w:pPr>
      <w:bookmarkStart w:id="55" w:name="_Toc191374422"/>
      <w:r>
        <w:rPr>
          <w:rFonts w:hint="eastAsia"/>
          <w:color w:val="auto"/>
          <w:highlight w:val="none"/>
        </w:rPr>
        <w:t>26.2评标原则</w:t>
      </w:r>
      <w:bookmarkEnd w:id="55"/>
      <w:r>
        <w:rPr>
          <w:rFonts w:hint="eastAsia"/>
          <w:color w:val="auto"/>
          <w:highlight w:val="none"/>
        </w:rPr>
        <w:t>及方法</w:t>
      </w:r>
    </w:p>
    <w:p w14:paraId="3421CBF6">
      <w:pPr>
        <w:spacing w:line="360" w:lineRule="auto"/>
        <w:ind w:firstLine="540" w:firstLineChars="225"/>
        <w:jc w:val="left"/>
        <w:rPr>
          <w:rFonts w:hint="eastAsia" w:ascii="宋体" w:hAnsi="宋体"/>
          <w:color w:val="auto"/>
          <w:sz w:val="24"/>
          <w:highlight w:val="none"/>
        </w:rPr>
      </w:pPr>
      <w:r>
        <w:rPr>
          <w:rFonts w:hint="eastAsia" w:ascii="宋体" w:hAnsi="宋体"/>
          <w:color w:val="auto"/>
          <w:sz w:val="24"/>
          <w:highlight w:val="none"/>
        </w:rPr>
        <w:t>评标活动遵循公平、公正、科学和择优的原则。</w:t>
      </w:r>
    </w:p>
    <w:p w14:paraId="0F9A602E">
      <w:pPr>
        <w:pStyle w:val="19"/>
        <w:rPr>
          <w:rFonts w:hint="eastAsia"/>
          <w:color w:val="auto"/>
          <w:highlight w:val="none"/>
        </w:rPr>
      </w:pPr>
      <w:r>
        <w:rPr>
          <w:rFonts w:hint="eastAsia"/>
          <w:color w:val="auto"/>
          <w:highlight w:val="none"/>
        </w:rPr>
        <w:t>26.3评标方法</w:t>
      </w:r>
    </w:p>
    <w:p w14:paraId="306886F3">
      <w:pPr>
        <w:spacing w:line="360" w:lineRule="auto"/>
        <w:ind w:firstLine="540" w:firstLineChars="225"/>
        <w:jc w:val="left"/>
        <w:rPr>
          <w:rFonts w:hint="eastAsia" w:ascii="宋体" w:hAnsi="宋体"/>
          <w:color w:val="auto"/>
          <w:sz w:val="24"/>
          <w:highlight w:val="none"/>
        </w:rPr>
      </w:pPr>
      <w:r>
        <w:rPr>
          <w:rFonts w:hint="eastAsia" w:ascii="宋体" w:hAnsi="宋体"/>
          <w:color w:val="auto"/>
          <w:sz w:val="24"/>
          <w:highlight w:val="none"/>
        </w:rPr>
        <w:t>本项目按“</w:t>
      </w:r>
      <w:r>
        <w:rPr>
          <w:rFonts w:hint="eastAsia" w:ascii="宋体" w:hAnsi="宋体"/>
          <w:b/>
          <w:bCs/>
          <w:color w:val="auto"/>
          <w:sz w:val="24"/>
          <w:highlight w:val="none"/>
        </w:rPr>
        <w:t>投标人须知前附表</w:t>
      </w:r>
      <w:r>
        <w:rPr>
          <w:rFonts w:hint="eastAsia" w:ascii="宋体" w:hAnsi="宋体"/>
          <w:color w:val="auto"/>
          <w:sz w:val="24"/>
          <w:highlight w:val="none"/>
        </w:rPr>
        <w:t>”规定的评标方法评标。在评标中，不得改变招标文件中规定的评标标准、方法和中标条件。第七章“</w:t>
      </w:r>
      <w:r>
        <w:rPr>
          <w:rFonts w:hint="eastAsia" w:ascii="宋体" w:hAnsi="宋体"/>
          <w:b/>
          <w:color w:val="auto"/>
          <w:sz w:val="24"/>
          <w:highlight w:val="none"/>
        </w:rPr>
        <w:t>评标方法</w:t>
      </w:r>
      <w:r>
        <w:rPr>
          <w:rFonts w:hint="eastAsia" w:ascii="宋体" w:hAnsi="宋体"/>
          <w:color w:val="auto"/>
          <w:sz w:val="24"/>
          <w:highlight w:val="none"/>
        </w:rPr>
        <w:t>”没有规定的评审因素和标准，不作为评标依据。</w:t>
      </w:r>
    </w:p>
    <w:p w14:paraId="350DE1A2">
      <w:pPr>
        <w:spacing w:line="360" w:lineRule="auto"/>
        <w:rPr>
          <w:rFonts w:hint="eastAsia" w:ascii="宋体" w:hAnsi="宋体"/>
          <w:color w:val="auto"/>
          <w:sz w:val="24"/>
          <w:highlight w:val="none"/>
        </w:rPr>
      </w:pPr>
      <w:r>
        <w:rPr>
          <w:rFonts w:hint="eastAsia" w:ascii="宋体" w:hAnsi="宋体"/>
          <w:color w:val="auto"/>
          <w:sz w:val="24"/>
          <w:highlight w:val="none"/>
        </w:rPr>
        <w:t>26.4评标应当在严格保密的情况下进行。任何单位和个人不得非法干预、影响评标办法的确定，以及评标过程和结果。</w:t>
      </w:r>
      <w:r>
        <w:rPr>
          <w:rFonts w:ascii="宋体" w:hAnsi="宋体"/>
          <w:color w:val="auto"/>
          <w:sz w:val="24"/>
          <w:highlight w:val="none"/>
        </w:rPr>
        <w:t>评标委员会成员和与评标活动有关的人员</w:t>
      </w:r>
      <w:r>
        <w:rPr>
          <w:rFonts w:hint="eastAsia" w:ascii="宋体" w:hAnsi="宋体"/>
          <w:color w:val="auto"/>
          <w:sz w:val="24"/>
          <w:highlight w:val="none"/>
        </w:rPr>
        <w:t>在政府采购活动中应严格遵守政府采购评审工作纪律，不得向外界泄露评审情况。</w:t>
      </w:r>
    </w:p>
    <w:p w14:paraId="7095D705">
      <w:pPr>
        <w:spacing w:line="360" w:lineRule="auto"/>
        <w:rPr>
          <w:rFonts w:hint="eastAsia" w:ascii="inherit" w:hAnsi="inherit" w:cs="宋体"/>
          <w:color w:val="auto"/>
          <w:kern w:val="0"/>
          <w:sz w:val="24"/>
          <w:highlight w:val="none"/>
        </w:rPr>
      </w:pPr>
      <w:r>
        <w:rPr>
          <w:rFonts w:ascii="宋体" w:hAnsi="宋体"/>
          <w:color w:val="auto"/>
          <w:sz w:val="24"/>
          <w:highlight w:val="none"/>
        </w:rPr>
        <w:t>★</w:t>
      </w:r>
      <w:r>
        <w:rPr>
          <w:rFonts w:hint="eastAsia" w:ascii="宋体" w:hAnsi="宋体"/>
          <w:color w:val="auto"/>
          <w:sz w:val="24"/>
          <w:highlight w:val="none"/>
        </w:rPr>
        <w:t>26.5</w:t>
      </w:r>
      <w:r>
        <w:rPr>
          <w:rFonts w:ascii="inherit" w:hAnsi="inherit" w:cs="宋体"/>
          <w:color w:val="auto"/>
          <w:kern w:val="0"/>
          <w:sz w:val="24"/>
          <w:highlight w:val="none"/>
        </w:rPr>
        <w:t>在评标过程中</w:t>
      </w:r>
      <w:r>
        <w:rPr>
          <w:rFonts w:hint="eastAsia" w:ascii="inherit" w:hAnsi="inherit" w:cs="宋体"/>
          <w:color w:val="auto"/>
          <w:kern w:val="0"/>
          <w:sz w:val="24"/>
          <w:highlight w:val="none"/>
        </w:rPr>
        <w:t>，</w:t>
      </w:r>
      <w:r>
        <w:rPr>
          <w:rFonts w:ascii="inherit" w:hAnsi="inherit" w:cs="宋体"/>
          <w:color w:val="auto"/>
          <w:kern w:val="0"/>
          <w:sz w:val="24"/>
          <w:highlight w:val="none"/>
        </w:rPr>
        <w:t>评标委员会发现投标人有</w:t>
      </w:r>
      <w:r>
        <w:rPr>
          <w:rFonts w:hint="eastAsia" w:ascii="inherit" w:hAnsi="inherit" w:cs="宋体"/>
          <w:color w:val="auto"/>
          <w:kern w:val="0"/>
          <w:sz w:val="24"/>
          <w:highlight w:val="none"/>
        </w:rPr>
        <w:t>本须知19条款规定的情形</w:t>
      </w:r>
      <w:r>
        <w:rPr>
          <w:rFonts w:ascii="inherit" w:hAnsi="inherit" w:cs="宋体"/>
          <w:color w:val="auto"/>
          <w:kern w:val="0"/>
          <w:sz w:val="24"/>
          <w:highlight w:val="none"/>
        </w:rPr>
        <w:t>，应当认定其投标无效，并书面报告本级财政部门。</w:t>
      </w:r>
    </w:p>
    <w:p w14:paraId="3F66CC7C">
      <w:pPr>
        <w:spacing w:line="360" w:lineRule="auto"/>
        <w:rPr>
          <w:rFonts w:hint="eastAsia" w:ascii="inherit" w:hAnsi="inherit" w:cs="宋体"/>
          <w:color w:val="auto"/>
          <w:kern w:val="0"/>
          <w:sz w:val="24"/>
          <w:highlight w:val="none"/>
        </w:rPr>
      </w:pPr>
      <w:r>
        <w:rPr>
          <w:rFonts w:ascii="宋体" w:hAnsi="宋体"/>
          <w:color w:val="auto"/>
          <w:sz w:val="24"/>
          <w:highlight w:val="none"/>
        </w:rPr>
        <w:t>★</w:t>
      </w:r>
      <w:r>
        <w:rPr>
          <w:rFonts w:hint="eastAsia" w:ascii="inherit" w:hAnsi="inherit" w:cs="宋体"/>
          <w:color w:val="auto"/>
          <w:kern w:val="0"/>
          <w:sz w:val="24"/>
          <w:highlight w:val="none"/>
        </w:rPr>
        <w:t>26.6</w:t>
      </w:r>
      <w:r>
        <w:rPr>
          <w:rFonts w:ascii="inherit" w:hAnsi="inherit" w:cs="宋体"/>
          <w:color w:val="auto"/>
          <w:kern w:val="0"/>
          <w:sz w:val="24"/>
          <w:highlight w:val="none"/>
        </w:rPr>
        <w:t>有下列情形之一的，视为投标人串通投标，其投标无效：</w:t>
      </w:r>
    </w:p>
    <w:p w14:paraId="65BF79A7">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（一）不同投标人的投标文件由同一单位或者个人编制；</w:t>
      </w:r>
    </w:p>
    <w:p w14:paraId="7DAAD5E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（二）不同投标人委托同一单位或者个人办理投标事宜；</w:t>
      </w:r>
    </w:p>
    <w:p w14:paraId="1DDC0D4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（三）不同投标人的投标文件载明的项目管理成员或者联系人员为同一人；</w:t>
      </w:r>
    </w:p>
    <w:p w14:paraId="1DF53B7A">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（四）不同投标人的投标文件异常一致或者投标报价呈规律性差异；</w:t>
      </w:r>
    </w:p>
    <w:p w14:paraId="63F76806">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（五）不同投标人的投标文件相互混装；</w:t>
      </w:r>
    </w:p>
    <w:p w14:paraId="255E8A9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（六）不同投标人的投标保证金从同一单位或者个人的账户转出。</w:t>
      </w:r>
    </w:p>
    <w:p w14:paraId="36F6B518">
      <w:pPr>
        <w:spacing w:line="360" w:lineRule="auto"/>
        <w:jc w:val="left"/>
        <w:rPr>
          <w:rFonts w:hint="eastAsia" w:ascii="宋体" w:hAnsi="宋体" w:cs="宋体"/>
          <w:color w:val="auto"/>
          <w:kern w:val="0"/>
          <w:sz w:val="24"/>
          <w:highlight w:val="none"/>
        </w:rPr>
      </w:pPr>
      <w:r>
        <w:rPr>
          <w:rFonts w:ascii="宋体" w:hAnsi="宋体"/>
          <w:color w:val="auto"/>
          <w:sz w:val="24"/>
          <w:highlight w:val="none"/>
        </w:rPr>
        <w:t>★26.7</w:t>
      </w:r>
      <w:r>
        <w:rPr>
          <w:rFonts w:hint="eastAsia" w:ascii="宋体" w:hAnsi="宋体" w:cs="宋体"/>
          <w:color w:val="auto"/>
          <w:kern w:val="0"/>
          <w:sz w:val="24"/>
          <w:highlight w:val="none"/>
        </w:rPr>
        <w:t>提供相同品牌产品且通过资格审查、符合性审查的不同投标人参加同一招标项目包投标的，按一家投标人计算，评审后得分最高的同品牌投标人获得中标候选人推荐资格；评审得分相同的，评标委员会将依次按价格低优先、技术部分得分高优先、商务部分得分高优先的顺序确定；所有得分均相等的，按优先采购小型或微企业（含残疾人福利性单位、监狱企业）产品的原则确定，若上述条件均相同，由评标委员会通过记名投票的方式，确定一个投标人获得中标人推荐资格，其他同品牌投标人不作为中标候选人</w:t>
      </w:r>
      <w:r>
        <w:rPr>
          <w:rFonts w:ascii="宋体" w:hAnsi="宋体" w:cs="宋体"/>
          <w:color w:val="auto"/>
          <w:kern w:val="0"/>
          <w:sz w:val="24"/>
          <w:highlight w:val="none"/>
        </w:rPr>
        <w:t>。</w:t>
      </w:r>
    </w:p>
    <w:p w14:paraId="318E1A15">
      <w:pPr>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ascii="宋体" w:hAnsi="宋体" w:cs="宋体"/>
          <w:color w:val="auto"/>
          <w:kern w:val="0"/>
          <w:sz w:val="24"/>
          <w:highlight w:val="none"/>
        </w:rPr>
        <w:t>6</w:t>
      </w:r>
      <w:r>
        <w:rPr>
          <w:rFonts w:hint="eastAsia" w:ascii="宋体" w:hAnsi="宋体" w:cs="宋体"/>
          <w:color w:val="auto"/>
          <w:kern w:val="0"/>
          <w:sz w:val="24"/>
          <w:highlight w:val="none"/>
        </w:rPr>
        <w:t>.</w:t>
      </w:r>
      <w:r>
        <w:rPr>
          <w:rFonts w:ascii="宋体" w:hAnsi="宋体" w:cs="宋体"/>
          <w:color w:val="auto"/>
          <w:kern w:val="0"/>
          <w:sz w:val="24"/>
          <w:highlight w:val="none"/>
        </w:rPr>
        <w:t>8</w:t>
      </w:r>
      <w:r>
        <w:rPr>
          <w:rFonts w:hint="eastAsia" w:ascii="宋体" w:hAnsi="宋体" w:cs="宋体"/>
          <w:color w:val="auto"/>
          <w:kern w:val="0"/>
          <w:sz w:val="24"/>
          <w:highlight w:val="none"/>
        </w:rPr>
        <w:t>若单个项目包为</w:t>
      </w:r>
      <w:r>
        <w:rPr>
          <w:rFonts w:ascii="宋体" w:hAnsi="宋体" w:cs="宋体"/>
          <w:color w:val="auto"/>
          <w:kern w:val="0"/>
          <w:sz w:val="24"/>
          <w:highlight w:val="none"/>
        </w:rPr>
        <w:t>非单一产品采购项目，</w:t>
      </w:r>
      <w:r>
        <w:rPr>
          <w:rFonts w:hint="eastAsia" w:ascii="宋体" w:hAnsi="宋体" w:cs="宋体"/>
          <w:color w:val="auto"/>
          <w:kern w:val="0"/>
          <w:sz w:val="24"/>
          <w:highlight w:val="none"/>
        </w:rPr>
        <w:t>对于招标文件</w:t>
      </w:r>
      <w:r>
        <w:rPr>
          <w:rFonts w:ascii="宋体" w:hAnsi="宋体" w:cs="宋体"/>
          <w:color w:val="auto"/>
          <w:kern w:val="0"/>
          <w:sz w:val="24"/>
          <w:highlight w:val="none"/>
        </w:rPr>
        <w:t>第五章</w:t>
      </w:r>
      <w:r>
        <w:rPr>
          <w:rFonts w:hint="eastAsia" w:ascii="宋体" w:hAnsi="宋体" w:cs="宋体"/>
          <w:color w:val="auto"/>
          <w:kern w:val="0"/>
          <w:sz w:val="24"/>
          <w:highlight w:val="none"/>
        </w:rPr>
        <w:t>规定的</w:t>
      </w:r>
      <w:r>
        <w:rPr>
          <w:rFonts w:ascii="宋体" w:hAnsi="宋体" w:cs="宋体"/>
          <w:color w:val="auto"/>
          <w:kern w:val="0"/>
          <w:sz w:val="24"/>
          <w:highlight w:val="none"/>
        </w:rPr>
        <w:t>核心产品，多家投标人提供的核心产品品牌有一项品牌相同的，按</w:t>
      </w:r>
      <w:r>
        <w:rPr>
          <w:rFonts w:hint="eastAsia" w:ascii="宋体" w:hAnsi="宋体" w:cs="宋体"/>
          <w:color w:val="auto"/>
          <w:kern w:val="0"/>
          <w:sz w:val="24"/>
          <w:highlight w:val="none"/>
        </w:rPr>
        <w:t>2</w:t>
      </w:r>
      <w:r>
        <w:rPr>
          <w:rFonts w:ascii="宋体" w:hAnsi="宋体" w:cs="宋体"/>
          <w:color w:val="auto"/>
          <w:kern w:val="0"/>
          <w:sz w:val="24"/>
          <w:highlight w:val="none"/>
        </w:rPr>
        <w:t>6.7款规定处理。</w:t>
      </w:r>
    </w:p>
    <w:p w14:paraId="338B7298">
      <w:pPr>
        <w:spacing w:line="360" w:lineRule="auto"/>
        <w:jc w:val="left"/>
        <w:rPr>
          <w:rFonts w:hint="eastAsia" w:ascii="inherit" w:hAnsi="inherit" w:cs="宋体"/>
          <w:b/>
          <w:color w:val="auto"/>
          <w:kern w:val="0"/>
          <w:sz w:val="24"/>
          <w:highlight w:val="none"/>
        </w:rPr>
      </w:pPr>
      <w:r>
        <w:rPr>
          <w:rFonts w:hint="eastAsia" w:ascii="宋体" w:hAnsi="宋体" w:cs="宋体"/>
          <w:b/>
          <w:color w:val="auto"/>
          <w:kern w:val="0"/>
          <w:sz w:val="24"/>
          <w:highlight w:val="none"/>
        </w:rPr>
        <w:t>★2</w:t>
      </w:r>
      <w:r>
        <w:rPr>
          <w:rFonts w:ascii="宋体" w:hAnsi="宋体" w:cs="宋体"/>
          <w:b/>
          <w:color w:val="auto"/>
          <w:kern w:val="0"/>
          <w:sz w:val="24"/>
          <w:highlight w:val="none"/>
        </w:rPr>
        <w:t>6</w:t>
      </w:r>
      <w:r>
        <w:rPr>
          <w:rFonts w:hint="eastAsia" w:ascii="宋体" w:hAnsi="宋体" w:cs="宋体"/>
          <w:b/>
          <w:color w:val="auto"/>
          <w:kern w:val="0"/>
          <w:sz w:val="24"/>
          <w:highlight w:val="none"/>
        </w:rPr>
        <w:t>.9按上述条款执行后，投标人不足3家的，本项目应予废标。</w:t>
      </w:r>
    </w:p>
    <w:p w14:paraId="07B7F854">
      <w:pPr>
        <w:pStyle w:val="19"/>
        <w:rPr>
          <w:rFonts w:hint="eastAsia"/>
          <w:bCs/>
          <w:color w:val="auto"/>
          <w:highlight w:val="none"/>
        </w:rPr>
      </w:pPr>
      <w:r>
        <w:rPr>
          <w:bCs/>
          <w:color w:val="auto"/>
          <w:highlight w:val="none"/>
        </w:rPr>
        <w:t>2</w:t>
      </w:r>
      <w:r>
        <w:rPr>
          <w:rFonts w:hint="eastAsia"/>
          <w:bCs/>
          <w:color w:val="auto"/>
          <w:highlight w:val="none"/>
        </w:rPr>
        <w:t>7.1</w:t>
      </w:r>
      <w:r>
        <w:rPr>
          <w:rFonts w:hint="eastAsia"/>
          <w:color w:val="auto"/>
          <w:highlight w:val="none"/>
        </w:rPr>
        <w:t>在招标采购中，出现下列情形之一的，应予废标：</w:t>
      </w:r>
    </w:p>
    <w:p w14:paraId="37BE7074">
      <w:pPr>
        <w:pStyle w:val="19"/>
        <w:rPr>
          <w:rFonts w:hint="eastAsia"/>
          <w:color w:val="auto"/>
          <w:highlight w:val="none"/>
        </w:rPr>
      </w:pPr>
      <w:r>
        <w:rPr>
          <w:rFonts w:hint="eastAsia"/>
          <w:color w:val="auto"/>
          <w:highlight w:val="none"/>
        </w:rPr>
        <w:t>(1)符合专业条件的投标人或者对招标文件作实质响应的投标人不足3家的；</w:t>
      </w:r>
    </w:p>
    <w:p w14:paraId="1FECE5FD">
      <w:pPr>
        <w:pStyle w:val="19"/>
        <w:rPr>
          <w:rFonts w:hint="eastAsia"/>
          <w:color w:val="auto"/>
          <w:highlight w:val="none"/>
        </w:rPr>
      </w:pPr>
      <w:r>
        <w:rPr>
          <w:rFonts w:hint="eastAsia"/>
          <w:color w:val="auto"/>
          <w:highlight w:val="none"/>
        </w:rPr>
        <w:t>(2)出现影响采购公正的违法、违规行为的；</w:t>
      </w:r>
    </w:p>
    <w:p w14:paraId="5E3FD833">
      <w:pPr>
        <w:pStyle w:val="19"/>
        <w:rPr>
          <w:rFonts w:hint="eastAsia"/>
          <w:color w:val="auto"/>
          <w:highlight w:val="none"/>
        </w:rPr>
      </w:pPr>
      <w:r>
        <w:rPr>
          <w:rFonts w:hint="eastAsia"/>
          <w:color w:val="auto"/>
          <w:highlight w:val="none"/>
        </w:rPr>
        <w:t>(3)投标人的报价均超过了采购预算，采购人不能支付的；</w:t>
      </w:r>
    </w:p>
    <w:p w14:paraId="52560CB2">
      <w:pPr>
        <w:pStyle w:val="19"/>
        <w:rPr>
          <w:rFonts w:hint="eastAsia"/>
          <w:color w:val="auto"/>
          <w:highlight w:val="none"/>
        </w:rPr>
      </w:pPr>
      <w:r>
        <w:rPr>
          <w:rFonts w:hint="eastAsia"/>
          <w:color w:val="auto"/>
          <w:highlight w:val="none"/>
        </w:rPr>
        <w:t>(4)因重大变故，采购任务取消的。</w:t>
      </w:r>
    </w:p>
    <w:p w14:paraId="4A31DF48">
      <w:pPr>
        <w:spacing w:line="360" w:lineRule="auto"/>
        <w:ind w:firstLine="542" w:firstLineChars="225"/>
        <w:jc w:val="left"/>
        <w:rPr>
          <w:rFonts w:hint="eastAsia" w:hAnsi="宋体"/>
          <w:b/>
          <w:color w:val="auto"/>
          <w:sz w:val="24"/>
          <w:highlight w:val="none"/>
        </w:rPr>
      </w:pPr>
      <w:r>
        <w:rPr>
          <w:rFonts w:hint="eastAsia" w:hAnsi="宋体"/>
          <w:b/>
          <w:color w:val="auto"/>
          <w:sz w:val="24"/>
          <w:highlight w:val="none"/>
        </w:rPr>
        <w:t>废标后，采购人应当将废标理由通知所有投标人。</w:t>
      </w:r>
    </w:p>
    <w:p w14:paraId="764FA618">
      <w:pPr>
        <w:spacing w:line="360" w:lineRule="auto"/>
        <w:jc w:val="left"/>
        <w:rPr>
          <w:rFonts w:hint="eastAsia" w:hAnsi="宋体"/>
          <w:color w:val="auto"/>
          <w:sz w:val="24"/>
          <w:highlight w:val="none"/>
        </w:rPr>
      </w:pPr>
      <w:r>
        <w:rPr>
          <w:rFonts w:hint="eastAsia" w:ascii="宋体" w:hAnsi="宋体"/>
          <w:bCs/>
          <w:color w:val="auto"/>
          <w:sz w:val="24"/>
          <w:highlight w:val="none"/>
        </w:rPr>
        <w:t>27.2电子交易活动的中止</w:t>
      </w:r>
    </w:p>
    <w:p w14:paraId="68A3D7DC">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采购过程中出现以下情形，导致电子交易平台无法正常运行，或者无法保证电子交易的公平、公正和安全时，采购代理机构可中止电子交易活动：</w:t>
      </w:r>
    </w:p>
    <w:p w14:paraId="709CF78C">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（1）电子交易平台发生故障而无法登录访问的；</w:t>
      </w:r>
    </w:p>
    <w:p w14:paraId="50D1B3E3">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（2）电子交易平台应用或数据库出现错误，不能进行正常操作的；</w:t>
      </w:r>
    </w:p>
    <w:p w14:paraId="17EEF963">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（3）电子交易平台发现严重安全漏洞，有潜在泄密危险的；</w:t>
      </w:r>
    </w:p>
    <w:p w14:paraId="45E21059">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（4）病毒发作导致不能进行正常操作的；</w:t>
      </w:r>
    </w:p>
    <w:p w14:paraId="0C9A07D1">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（5）其他无法保证电子交易的公平、公正和安全的情况。</w:t>
      </w:r>
    </w:p>
    <w:p w14:paraId="0C2A9C78">
      <w:pPr>
        <w:spacing w:line="360" w:lineRule="auto"/>
        <w:jc w:val="left"/>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27.3出现27.2中情形，不影响采购公平、公正性的，采购代理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9C15C44">
      <w:pPr>
        <w:pStyle w:val="5"/>
        <w:rPr>
          <w:color w:val="auto"/>
          <w:highlight w:val="none"/>
        </w:rPr>
      </w:pPr>
      <w:bookmarkStart w:id="56" w:name="_Toc33095535"/>
      <w:bookmarkStart w:id="57" w:name="_Toc101004087"/>
      <w:bookmarkStart w:id="58" w:name="_Toc13780"/>
      <w:bookmarkStart w:id="59" w:name="_Toc141099646"/>
      <w:r>
        <w:rPr>
          <w:rFonts w:hint="eastAsia"/>
          <w:color w:val="auto"/>
          <w:highlight w:val="none"/>
        </w:rPr>
        <w:t>六、中标结果</w:t>
      </w:r>
      <w:bookmarkEnd w:id="56"/>
      <w:bookmarkEnd w:id="57"/>
      <w:bookmarkEnd w:id="58"/>
      <w:bookmarkEnd w:id="59"/>
    </w:p>
    <w:p w14:paraId="69FD9124">
      <w:pPr>
        <w:pStyle w:val="19"/>
        <w:rPr>
          <w:rFonts w:hint="eastAsia"/>
          <w:color w:val="auto"/>
          <w:highlight w:val="none"/>
        </w:rPr>
      </w:pPr>
      <w:r>
        <w:rPr>
          <w:rFonts w:hint="eastAsia"/>
          <w:color w:val="auto"/>
          <w:highlight w:val="none"/>
        </w:rPr>
        <w:t>28. 中标人的确定</w:t>
      </w:r>
    </w:p>
    <w:p w14:paraId="3FB5F642">
      <w:pPr>
        <w:spacing w:line="360" w:lineRule="auto"/>
        <w:rPr>
          <w:rFonts w:hint="eastAsia" w:ascii="宋体" w:hAnsi="宋体"/>
          <w:color w:val="auto"/>
          <w:sz w:val="24"/>
          <w:highlight w:val="none"/>
        </w:rPr>
      </w:pPr>
      <w:r>
        <w:rPr>
          <w:rFonts w:hint="eastAsia" w:ascii="宋体" w:hAnsi="宋体"/>
          <w:color w:val="auto"/>
          <w:sz w:val="24"/>
          <w:highlight w:val="none"/>
        </w:rPr>
        <w:t>28.1采购代理机构应当在评标结束之日起2个工作日内将评标报告送采购人确认。</w:t>
      </w:r>
    </w:p>
    <w:p w14:paraId="42B51632">
      <w:pPr>
        <w:pStyle w:val="19"/>
        <w:rPr>
          <w:rFonts w:hint="eastAsia"/>
          <w:color w:val="auto"/>
          <w:highlight w:val="none"/>
        </w:rPr>
      </w:pPr>
      <w:r>
        <w:rPr>
          <w:rFonts w:hint="eastAsia"/>
          <w:color w:val="auto"/>
          <w:highlight w:val="none"/>
        </w:rPr>
        <w:t>28.2采购人应当在收到评标报告之日起5个工作日内，在评标报告中推荐的中标候选人中按顺序确定中标人。</w:t>
      </w:r>
    </w:p>
    <w:p w14:paraId="38215C4C">
      <w:pPr>
        <w:pStyle w:val="19"/>
        <w:rPr>
          <w:rFonts w:hint="eastAsia"/>
          <w:color w:val="auto"/>
          <w:highlight w:val="none"/>
        </w:rPr>
      </w:pPr>
      <w:r>
        <w:rPr>
          <w:rFonts w:hint="eastAsia"/>
          <w:color w:val="auto"/>
          <w:highlight w:val="none"/>
        </w:rPr>
        <w:t>29. 中标通知书</w:t>
      </w:r>
    </w:p>
    <w:p w14:paraId="72DEAB2B">
      <w:pPr>
        <w:pStyle w:val="19"/>
        <w:rPr>
          <w:rFonts w:hint="eastAsia"/>
          <w:color w:val="auto"/>
          <w:highlight w:val="none"/>
        </w:rPr>
      </w:pPr>
      <w:r>
        <w:rPr>
          <w:rFonts w:hint="eastAsia"/>
          <w:color w:val="auto"/>
          <w:highlight w:val="none"/>
        </w:rPr>
        <w:t>29.1中标人确定之日起2个工作日内，采购代理机构在省级以上财政部门指定的媒体上公告中标结果，中标公告期限为1个工作日，同时向中标人发出中标通知书。</w:t>
      </w:r>
    </w:p>
    <w:p w14:paraId="63598F79">
      <w:pPr>
        <w:pStyle w:val="19"/>
        <w:rPr>
          <w:rFonts w:hint="eastAsia"/>
          <w:color w:val="auto"/>
          <w:highlight w:val="none"/>
        </w:rPr>
      </w:pPr>
      <w:r>
        <w:rPr>
          <w:rFonts w:hint="eastAsia"/>
          <w:color w:val="auto"/>
          <w:highlight w:val="none"/>
        </w:rPr>
        <w:t>29.2中标通知书是合同的一个组成部分。</w:t>
      </w:r>
    </w:p>
    <w:p w14:paraId="7DE202B9">
      <w:pPr>
        <w:pStyle w:val="19"/>
        <w:rPr>
          <w:rFonts w:hint="eastAsia"/>
          <w:color w:val="auto"/>
          <w:highlight w:val="none"/>
        </w:rPr>
      </w:pPr>
      <w:r>
        <w:rPr>
          <w:rFonts w:hint="eastAsia"/>
          <w:color w:val="auto"/>
          <w:highlight w:val="none"/>
        </w:rPr>
        <w:t>30. 签订合同</w:t>
      </w:r>
    </w:p>
    <w:p w14:paraId="628F7761">
      <w:pPr>
        <w:pStyle w:val="19"/>
        <w:rPr>
          <w:rFonts w:hint="eastAsia"/>
          <w:color w:val="auto"/>
          <w:highlight w:val="none"/>
        </w:rPr>
      </w:pPr>
      <w:r>
        <w:rPr>
          <w:rFonts w:hint="eastAsia"/>
          <w:color w:val="auto"/>
          <w:highlight w:val="none"/>
        </w:rPr>
        <w:t>30.1</w:t>
      </w:r>
      <w:r>
        <w:rPr>
          <w:color w:val="auto"/>
          <w:highlight w:val="none"/>
        </w:rPr>
        <w:t>采购人与中标</w:t>
      </w:r>
      <w:r>
        <w:rPr>
          <w:rFonts w:hint="eastAsia"/>
          <w:color w:val="auto"/>
          <w:highlight w:val="none"/>
        </w:rPr>
        <w:t>人</w:t>
      </w:r>
      <w:r>
        <w:rPr>
          <w:color w:val="auto"/>
          <w:highlight w:val="none"/>
        </w:rPr>
        <w:t>应当在中标通知书发出之日起</w:t>
      </w:r>
      <w:r>
        <w:rPr>
          <w:rFonts w:hint="eastAsia"/>
          <w:color w:val="auto"/>
          <w:highlight w:val="none"/>
        </w:rPr>
        <w:t>3</w:t>
      </w:r>
      <w:r>
        <w:rPr>
          <w:color w:val="auto"/>
          <w:highlight w:val="none"/>
        </w:rPr>
        <w:t>0日内，按照</w:t>
      </w:r>
      <w:r>
        <w:rPr>
          <w:rFonts w:hint="eastAsia"/>
          <w:color w:val="auto"/>
          <w:highlight w:val="none"/>
        </w:rPr>
        <w:t>招标</w:t>
      </w:r>
      <w:r>
        <w:rPr>
          <w:color w:val="auto"/>
          <w:highlight w:val="none"/>
        </w:rPr>
        <w:t>文件和中标人投标文件的规定签订政府采购合同。</w:t>
      </w:r>
    </w:p>
    <w:p w14:paraId="34E3ADF7">
      <w:pPr>
        <w:pStyle w:val="19"/>
        <w:rPr>
          <w:rFonts w:hint="eastAsia"/>
          <w:color w:val="auto"/>
          <w:highlight w:val="none"/>
        </w:rPr>
      </w:pPr>
      <w:r>
        <w:rPr>
          <w:rFonts w:hint="eastAsia"/>
          <w:color w:val="auto"/>
          <w:highlight w:val="none"/>
        </w:rPr>
        <w:t>30.2中标人因不可抗力或者自身原因不能履行政府采购合同的，或中标人拒绝与采购人签订合同的，采购人可以按照评标报告推荐的中标候选人名单排序，确定下一候选人为中标人，也可以重新开展政府采购活动。</w:t>
      </w:r>
    </w:p>
    <w:p w14:paraId="1D959B86">
      <w:pPr>
        <w:pStyle w:val="19"/>
        <w:rPr>
          <w:rFonts w:hint="eastAsia"/>
          <w:color w:val="auto"/>
          <w:highlight w:val="none"/>
        </w:rPr>
      </w:pPr>
      <w:r>
        <w:rPr>
          <w:rFonts w:hint="eastAsia"/>
          <w:color w:val="auto"/>
          <w:highlight w:val="none"/>
        </w:rPr>
        <w:t>30.3政府采购合同履行中，采购人需追加与合同标的相同的货物的，在不改变合同其他条款的前提下，可以与中标人协商签订补充合同，但所有补充合同的采购金额不得超过原合同采购金额的百分之十。</w:t>
      </w:r>
    </w:p>
    <w:p w14:paraId="0F7C1F67">
      <w:pPr>
        <w:pStyle w:val="19"/>
        <w:rPr>
          <w:rFonts w:hint="eastAsia"/>
          <w:color w:val="auto"/>
          <w:highlight w:val="none"/>
        </w:rPr>
      </w:pPr>
      <w:r>
        <w:rPr>
          <w:color w:val="auto"/>
          <w:highlight w:val="none"/>
        </w:rPr>
        <w:t>3</w:t>
      </w:r>
      <w:r>
        <w:rPr>
          <w:rFonts w:hint="eastAsia"/>
          <w:color w:val="auto"/>
          <w:highlight w:val="none"/>
        </w:rPr>
        <w:t>1. 履约担保</w:t>
      </w:r>
    </w:p>
    <w:p w14:paraId="27CD5CFB">
      <w:pPr>
        <w:pStyle w:val="19"/>
        <w:rPr>
          <w:rFonts w:hint="eastAsia"/>
          <w:color w:val="auto"/>
          <w:highlight w:val="none"/>
        </w:rPr>
      </w:pPr>
      <w:r>
        <w:rPr>
          <w:color w:val="auto"/>
          <w:highlight w:val="none"/>
        </w:rPr>
        <w:t>3</w:t>
      </w:r>
      <w:r>
        <w:rPr>
          <w:rFonts w:hint="eastAsia"/>
          <w:color w:val="auto"/>
          <w:highlight w:val="none"/>
        </w:rPr>
        <w:t>1.1签订合同前，中标人应按“</w:t>
      </w:r>
      <w:r>
        <w:rPr>
          <w:rFonts w:hint="eastAsia"/>
          <w:b/>
          <w:color w:val="auto"/>
          <w:highlight w:val="none"/>
        </w:rPr>
        <w:t>投标人须知前附表</w:t>
      </w:r>
      <w:r>
        <w:rPr>
          <w:rFonts w:hint="eastAsia"/>
          <w:color w:val="auto"/>
          <w:highlight w:val="none"/>
        </w:rPr>
        <w:t>”上确定的履约担保的金额及形式，向采购人提交履约担保，</w:t>
      </w:r>
      <w:r>
        <w:rPr>
          <w:color w:val="auto"/>
          <w:highlight w:val="none"/>
        </w:rPr>
        <w:t>联合体中标的，其履约担保由牵头人递交</w:t>
      </w:r>
      <w:r>
        <w:rPr>
          <w:rFonts w:hint="eastAsia"/>
          <w:color w:val="auto"/>
          <w:highlight w:val="none"/>
        </w:rPr>
        <w:t>。否则，视为放弃中标项目，投标保证金将不予退还。</w:t>
      </w:r>
    </w:p>
    <w:p w14:paraId="0C74C342">
      <w:pPr>
        <w:pStyle w:val="19"/>
        <w:rPr>
          <w:rFonts w:hint="eastAsia"/>
          <w:color w:val="auto"/>
          <w:highlight w:val="none"/>
        </w:rPr>
      </w:pPr>
      <w:r>
        <w:rPr>
          <w:color w:val="auto"/>
          <w:highlight w:val="none"/>
        </w:rPr>
        <w:t>3</w:t>
      </w:r>
      <w:r>
        <w:rPr>
          <w:rFonts w:hint="eastAsia"/>
          <w:color w:val="auto"/>
          <w:highlight w:val="none"/>
        </w:rPr>
        <w:t>1.2签订合同后，如中标人不按双方签订合同约定履约，则没收其全部履约保证金，履约保证金不足以赔偿损失的，按实际损失赔偿。</w:t>
      </w:r>
    </w:p>
    <w:p w14:paraId="767365AF">
      <w:pPr>
        <w:pStyle w:val="5"/>
        <w:rPr>
          <w:color w:val="auto"/>
          <w:highlight w:val="none"/>
        </w:rPr>
      </w:pPr>
      <w:bookmarkStart w:id="60" w:name="_Toc18288"/>
      <w:bookmarkStart w:id="61" w:name="_Toc101004088"/>
      <w:bookmarkStart w:id="62" w:name="_Toc33095536"/>
      <w:bookmarkStart w:id="63" w:name="_Toc141099647"/>
      <w:r>
        <w:rPr>
          <w:rFonts w:hint="eastAsia"/>
          <w:color w:val="auto"/>
          <w:highlight w:val="none"/>
        </w:rPr>
        <w:t>七、其他事项</w:t>
      </w:r>
      <w:bookmarkEnd w:id="60"/>
      <w:bookmarkEnd w:id="61"/>
      <w:bookmarkEnd w:id="62"/>
      <w:bookmarkEnd w:id="63"/>
    </w:p>
    <w:p w14:paraId="4410D8F2">
      <w:pPr>
        <w:pStyle w:val="19"/>
        <w:rPr>
          <w:rFonts w:hint="eastAsia"/>
          <w:color w:val="auto"/>
          <w:highlight w:val="none"/>
        </w:rPr>
      </w:pPr>
      <w:r>
        <w:rPr>
          <w:color w:val="auto"/>
          <w:highlight w:val="none"/>
        </w:rPr>
        <w:t>3</w:t>
      </w:r>
      <w:r>
        <w:rPr>
          <w:rFonts w:hint="eastAsia"/>
          <w:color w:val="auto"/>
          <w:highlight w:val="none"/>
        </w:rPr>
        <w:t>2. 采购代理服务费</w:t>
      </w:r>
    </w:p>
    <w:p w14:paraId="555F84D1">
      <w:pPr>
        <w:pStyle w:val="19"/>
        <w:rPr>
          <w:rFonts w:hint="eastAsia"/>
          <w:color w:val="auto"/>
          <w:highlight w:val="none"/>
        </w:rPr>
      </w:pPr>
      <w:r>
        <w:rPr>
          <w:color w:val="auto"/>
          <w:highlight w:val="none"/>
        </w:rPr>
        <w:t>3</w:t>
      </w:r>
      <w:r>
        <w:rPr>
          <w:rFonts w:hint="eastAsia"/>
          <w:color w:val="auto"/>
          <w:highlight w:val="none"/>
        </w:rPr>
        <w:t>2.1采购代理机构按以下货物招标收费标准向中标人收取招标代理服务费：</w:t>
      </w:r>
    </w:p>
    <w:tbl>
      <w:tblPr>
        <w:tblStyle w:val="33"/>
        <w:tblW w:w="0" w:type="auto"/>
        <w:jc w:val="center"/>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2100"/>
        <w:gridCol w:w="2100"/>
        <w:gridCol w:w="2415"/>
      </w:tblGrid>
      <w:tr w14:paraId="1F4016E0">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205" w:type="dxa"/>
            <w:vMerge w:val="restart"/>
            <w:vAlign w:val="center"/>
          </w:tcPr>
          <w:p w14:paraId="4C773C03">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中标金额</w:t>
            </w:r>
          </w:p>
          <w:p w14:paraId="1546231F">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（万元）</w:t>
            </w:r>
          </w:p>
        </w:tc>
        <w:tc>
          <w:tcPr>
            <w:tcW w:w="6615" w:type="dxa"/>
            <w:gridSpan w:val="3"/>
            <w:vAlign w:val="center"/>
          </w:tcPr>
          <w:p w14:paraId="3EBE228B">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收费标准</w:t>
            </w:r>
          </w:p>
        </w:tc>
      </w:tr>
      <w:tr w14:paraId="1DFBF25D">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205" w:type="dxa"/>
            <w:vMerge w:val="continue"/>
            <w:shd w:val="clear" w:color="auto" w:fill="auto"/>
            <w:vAlign w:val="center"/>
          </w:tcPr>
          <w:p w14:paraId="78BA43D2">
            <w:pPr>
              <w:spacing w:line="360" w:lineRule="exact"/>
              <w:jc w:val="center"/>
              <w:rPr>
                <w:rFonts w:hint="eastAsia" w:ascii="宋体" w:hAnsi="宋体"/>
                <w:color w:val="auto"/>
                <w:kern w:val="0"/>
                <w:sz w:val="24"/>
                <w:highlight w:val="none"/>
              </w:rPr>
            </w:pPr>
          </w:p>
        </w:tc>
        <w:tc>
          <w:tcPr>
            <w:tcW w:w="2100" w:type="dxa"/>
            <w:shd w:val="clear" w:color="auto" w:fill="CCFFFF"/>
            <w:vAlign w:val="center"/>
          </w:tcPr>
          <w:p w14:paraId="1CC8D530">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货物招标</w:t>
            </w:r>
          </w:p>
        </w:tc>
        <w:tc>
          <w:tcPr>
            <w:tcW w:w="2100" w:type="dxa"/>
            <w:vAlign w:val="center"/>
          </w:tcPr>
          <w:p w14:paraId="5FA75CB1">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服务招标</w:t>
            </w:r>
          </w:p>
        </w:tc>
        <w:tc>
          <w:tcPr>
            <w:tcW w:w="2415" w:type="dxa"/>
            <w:vAlign w:val="center"/>
          </w:tcPr>
          <w:p w14:paraId="329BCC5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工程招标</w:t>
            </w:r>
          </w:p>
        </w:tc>
      </w:tr>
      <w:tr w14:paraId="62D97839">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658DA6CF">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100以下</w:t>
            </w:r>
          </w:p>
        </w:tc>
        <w:tc>
          <w:tcPr>
            <w:tcW w:w="2100" w:type="dxa"/>
            <w:shd w:val="clear" w:color="auto" w:fill="CCFFFF"/>
          </w:tcPr>
          <w:p w14:paraId="064548EA">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1.5%</w:t>
            </w:r>
          </w:p>
        </w:tc>
        <w:tc>
          <w:tcPr>
            <w:tcW w:w="2100" w:type="dxa"/>
          </w:tcPr>
          <w:p w14:paraId="2B0AFA32">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1.5%</w:t>
            </w:r>
          </w:p>
        </w:tc>
        <w:tc>
          <w:tcPr>
            <w:tcW w:w="2415" w:type="dxa"/>
          </w:tcPr>
          <w:p w14:paraId="5F2D2B0D">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1.0%</w:t>
            </w:r>
          </w:p>
        </w:tc>
      </w:tr>
      <w:tr w14:paraId="03047482">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4BE60F21">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w:t>
            </w:r>
            <w:r>
              <w:rPr>
                <w:rFonts w:ascii="宋体" w:hAnsi="宋体"/>
                <w:color w:val="auto"/>
                <w:kern w:val="0"/>
                <w:sz w:val="24"/>
                <w:highlight w:val="none"/>
              </w:rPr>
              <w:t>—</w:t>
            </w:r>
            <w:r>
              <w:rPr>
                <w:rFonts w:hint="eastAsia" w:ascii="宋体" w:hAnsi="宋体"/>
                <w:color w:val="auto"/>
                <w:kern w:val="0"/>
                <w:sz w:val="24"/>
                <w:highlight w:val="none"/>
              </w:rPr>
              <w:t>500</w:t>
            </w:r>
          </w:p>
        </w:tc>
        <w:tc>
          <w:tcPr>
            <w:tcW w:w="2100" w:type="dxa"/>
            <w:shd w:val="clear" w:color="auto" w:fill="CCFFFF"/>
          </w:tcPr>
          <w:p w14:paraId="53DF3875">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1.1%</w:t>
            </w:r>
          </w:p>
        </w:tc>
        <w:tc>
          <w:tcPr>
            <w:tcW w:w="2100" w:type="dxa"/>
          </w:tcPr>
          <w:p w14:paraId="3585C7A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0.8%</w:t>
            </w:r>
          </w:p>
        </w:tc>
        <w:tc>
          <w:tcPr>
            <w:tcW w:w="2415" w:type="dxa"/>
          </w:tcPr>
          <w:p w14:paraId="684A3C9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0.7%</w:t>
            </w:r>
          </w:p>
        </w:tc>
      </w:tr>
      <w:tr w14:paraId="35C3B751">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5CF66369">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500</w:t>
            </w:r>
            <w:r>
              <w:rPr>
                <w:rFonts w:ascii="宋体" w:hAnsi="宋体"/>
                <w:color w:val="auto"/>
                <w:kern w:val="0"/>
                <w:sz w:val="24"/>
                <w:highlight w:val="none"/>
              </w:rPr>
              <w:t>—</w:t>
            </w:r>
            <w:r>
              <w:rPr>
                <w:rFonts w:hint="eastAsia" w:ascii="宋体" w:hAnsi="宋体"/>
                <w:color w:val="auto"/>
                <w:kern w:val="0"/>
                <w:sz w:val="24"/>
                <w:highlight w:val="none"/>
              </w:rPr>
              <w:t>1000</w:t>
            </w:r>
          </w:p>
        </w:tc>
        <w:tc>
          <w:tcPr>
            <w:tcW w:w="2100" w:type="dxa"/>
            <w:shd w:val="clear" w:color="auto" w:fill="CCFFFF"/>
          </w:tcPr>
          <w:p w14:paraId="73509839">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0.8%</w:t>
            </w:r>
          </w:p>
        </w:tc>
        <w:tc>
          <w:tcPr>
            <w:tcW w:w="2100" w:type="dxa"/>
          </w:tcPr>
          <w:p w14:paraId="75ECB4D2">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0.45%</w:t>
            </w:r>
          </w:p>
        </w:tc>
        <w:tc>
          <w:tcPr>
            <w:tcW w:w="2415" w:type="dxa"/>
          </w:tcPr>
          <w:p w14:paraId="14E1CEB5">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0.55%</w:t>
            </w:r>
          </w:p>
        </w:tc>
      </w:tr>
      <w:tr w14:paraId="7FFA171C">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305C75CB">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1000</w:t>
            </w:r>
            <w:r>
              <w:rPr>
                <w:rFonts w:ascii="宋体" w:hAnsi="宋体"/>
                <w:color w:val="auto"/>
                <w:kern w:val="0"/>
                <w:sz w:val="24"/>
                <w:highlight w:val="none"/>
              </w:rPr>
              <w:t>—</w:t>
            </w:r>
            <w:r>
              <w:rPr>
                <w:rFonts w:hint="eastAsia" w:ascii="宋体" w:hAnsi="宋体"/>
                <w:color w:val="auto"/>
                <w:kern w:val="0"/>
                <w:sz w:val="24"/>
                <w:highlight w:val="none"/>
              </w:rPr>
              <w:t>5000</w:t>
            </w:r>
          </w:p>
        </w:tc>
        <w:tc>
          <w:tcPr>
            <w:tcW w:w="2100" w:type="dxa"/>
            <w:shd w:val="clear" w:color="auto" w:fill="CCFFFF"/>
          </w:tcPr>
          <w:p w14:paraId="661FBEA4">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0.5%</w:t>
            </w:r>
          </w:p>
        </w:tc>
        <w:tc>
          <w:tcPr>
            <w:tcW w:w="2100" w:type="dxa"/>
          </w:tcPr>
          <w:p w14:paraId="6AE187DF">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0.25%</w:t>
            </w:r>
          </w:p>
        </w:tc>
        <w:tc>
          <w:tcPr>
            <w:tcW w:w="2415" w:type="dxa"/>
          </w:tcPr>
          <w:p w14:paraId="69265E3C">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0.35%</w:t>
            </w:r>
          </w:p>
        </w:tc>
      </w:tr>
      <w:tr w14:paraId="6442F580">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38557BEB">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5000</w:t>
            </w:r>
            <w:r>
              <w:rPr>
                <w:rFonts w:ascii="宋体" w:hAnsi="宋体"/>
                <w:color w:val="auto"/>
                <w:kern w:val="0"/>
                <w:sz w:val="24"/>
                <w:highlight w:val="none"/>
              </w:rPr>
              <w:t>—</w:t>
            </w:r>
            <w:r>
              <w:rPr>
                <w:rFonts w:hint="eastAsia" w:ascii="宋体" w:hAnsi="宋体"/>
                <w:color w:val="auto"/>
                <w:kern w:val="0"/>
                <w:sz w:val="24"/>
                <w:highlight w:val="none"/>
              </w:rPr>
              <w:t>10000</w:t>
            </w:r>
          </w:p>
        </w:tc>
        <w:tc>
          <w:tcPr>
            <w:tcW w:w="2100" w:type="dxa"/>
            <w:shd w:val="clear" w:color="auto" w:fill="CCFFFF"/>
          </w:tcPr>
          <w:p w14:paraId="427FABD4">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0.25%</w:t>
            </w:r>
          </w:p>
        </w:tc>
        <w:tc>
          <w:tcPr>
            <w:tcW w:w="2100" w:type="dxa"/>
          </w:tcPr>
          <w:p w14:paraId="36EFCC77">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0.1%</w:t>
            </w:r>
          </w:p>
        </w:tc>
        <w:tc>
          <w:tcPr>
            <w:tcW w:w="2415" w:type="dxa"/>
          </w:tcPr>
          <w:p w14:paraId="2883D303">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w:t>
            </w:r>
          </w:p>
        </w:tc>
      </w:tr>
    </w:tbl>
    <w:p w14:paraId="77D1206A">
      <w:pPr>
        <w:pStyle w:val="19"/>
        <w:rPr>
          <w:rFonts w:hint="eastAsia"/>
          <w:color w:val="auto"/>
          <w:highlight w:val="none"/>
        </w:rPr>
      </w:pPr>
      <w:r>
        <w:rPr>
          <w:color w:val="auto"/>
          <w:highlight w:val="none"/>
        </w:rPr>
        <w:t>3</w:t>
      </w:r>
      <w:r>
        <w:rPr>
          <w:rFonts w:hint="eastAsia"/>
          <w:color w:val="auto"/>
          <w:highlight w:val="none"/>
        </w:rPr>
        <w:t>2.2中标人应在接受“</w:t>
      </w:r>
      <w:r>
        <w:rPr>
          <w:rFonts w:hint="eastAsia"/>
          <w:b/>
          <w:color w:val="auto"/>
          <w:highlight w:val="none"/>
        </w:rPr>
        <w:t>中标通知书</w:t>
      </w:r>
      <w:r>
        <w:rPr>
          <w:rFonts w:hint="eastAsia"/>
          <w:color w:val="auto"/>
          <w:highlight w:val="none"/>
        </w:rPr>
        <w:t>”前向采购代理机构一次付清代理服务费。</w:t>
      </w:r>
    </w:p>
    <w:p w14:paraId="2CD57872">
      <w:pPr>
        <w:pStyle w:val="19"/>
        <w:rPr>
          <w:rFonts w:hint="eastAsia"/>
          <w:color w:val="auto"/>
          <w:highlight w:val="none"/>
        </w:rPr>
      </w:pPr>
      <w:r>
        <w:rPr>
          <w:rFonts w:hint="eastAsia"/>
          <w:color w:val="auto"/>
          <w:highlight w:val="none"/>
        </w:rPr>
        <w:t>33. 招标文件编制依据</w:t>
      </w:r>
    </w:p>
    <w:p w14:paraId="147A83A9">
      <w:pPr>
        <w:pStyle w:val="19"/>
        <w:rPr>
          <w:rFonts w:hint="eastAsia"/>
          <w:color w:val="auto"/>
          <w:highlight w:val="none"/>
        </w:rPr>
      </w:pPr>
      <w:r>
        <w:rPr>
          <w:rFonts w:hint="eastAsia"/>
          <w:color w:val="auto"/>
          <w:highlight w:val="none"/>
        </w:rPr>
        <w:t>33.1本招标文件根据《中华人民共和国政府采购法》及相关法律法规编制。</w:t>
      </w:r>
    </w:p>
    <w:p w14:paraId="3B19A07E">
      <w:pPr>
        <w:pStyle w:val="19"/>
        <w:rPr>
          <w:rFonts w:hint="eastAsia"/>
          <w:bCs/>
          <w:color w:val="auto"/>
          <w:highlight w:val="none"/>
        </w:rPr>
      </w:pPr>
      <w:r>
        <w:rPr>
          <w:rFonts w:hint="eastAsia"/>
          <w:bCs/>
          <w:color w:val="auto"/>
          <w:highlight w:val="none"/>
        </w:rPr>
        <w:t>34.</w:t>
      </w:r>
      <w:r>
        <w:rPr>
          <w:rFonts w:hint="eastAsia"/>
          <w:color w:val="auto"/>
          <w:highlight w:val="none"/>
        </w:rPr>
        <w:t>需要补充的其他内容</w:t>
      </w:r>
    </w:p>
    <w:p w14:paraId="612EE128">
      <w:pPr>
        <w:pStyle w:val="19"/>
        <w:rPr>
          <w:rFonts w:hint="eastAsia"/>
          <w:color w:val="auto"/>
          <w:highlight w:val="none"/>
        </w:rPr>
      </w:pPr>
      <w:r>
        <w:rPr>
          <w:color w:val="auto"/>
          <w:highlight w:val="none"/>
        </w:rPr>
        <w:t>3</w:t>
      </w:r>
      <w:r>
        <w:rPr>
          <w:rFonts w:hint="eastAsia"/>
          <w:color w:val="auto"/>
          <w:highlight w:val="none"/>
        </w:rPr>
        <w:t>4</w:t>
      </w:r>
      <w:r>
        <w:rPr>
          <w:color w:val="auto"/>
          <w:highlight w:val="none"/>
        </w:rPr>
        <w:t>.1 “</w:t>
      </w:r>
      <w:r>
        <w:rPr>
          <w:b/>
          <w:color w:val="auto"/>
          <w:highlight w:val="none"/>
        </w:rPr>
        <w:t>投标人须知前附表</w:t>
      </w:r>
      <w:r>
        <w:rPr>
          <w:color w:val="auto"/>
          <w:highlight w:val="none"/>
        </w:rPr>
        <w:t>”</w:t>
      </w:r>
      <w:r>
        <w:rPr>
          <w:rFonts w:hint="eastAsia"/>
          <w:color w:val="auto"/>
          <w:highlight w:val="none"/>
        </w:rPr>
        <w:t>中若</w:t>
      </w:r>
      <w:r>
        <w:rPr>
          <w:color w:val="auto"/>
          <w:highlight w:val="none"/>
        </w:rPr>
        <w:t>规定</w:t>
      </w:r>
      <w:r>
        <w:rPr>
          <w:rFonts w:hint="eastAsia"/>
          <w:color w:val="auto"/>
          <w:highlight w:val="none"/>
        </w:rPr>
        <w:t>可以接受</w:t>
      </w:r>
      <w:r>
        <w:rPr>
          <w:color w:val="auto"/>
          <w:highlight w:val="none"/>
        </w:rPr>
        <w:t>备选方案</w:t>
      </w:r>
      <w:r>
        <w:rPr>
          <w:rFonts w:hint="eastAsia"/>
          <w:color w:val="auto"/>
          <w:highlight w:val="none"/>
        </w:rPr>
        <w:t>的，投标人在投标文件中只能提供一个备选方案，并注明主选方案，且备选方案的投标价格不得高于主选方案。凡提供两个以上备选方案或未注明主选方案的，该投标将被视为未实质性响应招标文件要求。</w:t>
      </w:r>
    </w:p>
    <w:p w14:paraId="5E809E23">
      <w:pPr>
        <w:pStyle w:val="19"/>
        <w:rPr>
          <w:rFonts w:hint="eastAsia"/>
          <w:color w:val="auto"/>
          <w:highlight w:val="none"/>
        </w:rPr>
      </w:pPr>
      <w:r>
        <w:rPr>
          <w:rFonts w:hint="eastAsia"/>
          <w:color w:val="auto"/>
          <w:highlight w:val="none"/>
        </w:rPr>
        <w:t>评标委员会在对有备选方案的投标人进行评审时，应当以</w:t>
      </w:r>
      <w:r>
        <w:rPr>
          <w:color w:val="auto"/>
          <w:highlight w:val="none"/>
        </w:rPr>
        <w:t>主选方案</w:t>
      </w:r>
      <w:r>
        <w:rPr>
          <w:rFonts w:hint="eastAsia"/>
          <w:color w:val="auto"/>
          <w:highlight w:val="none"/>
        </w:rPr>
        <w:t>为准进行</w:t>
      </w:r>
      <w:r>
        <w:rPr>
          <w:color w:val="auto"/>
          <w:highlight w:val="none"/>
        </w:rPr>
        <w:t>评</w:t>
      </w:r>
      <w:r>
        <w:rPr>
          <w:rFonts w:hint="eastAsia"/>
          <w:color w:val="auto"/>
          <w:highlight w:val="none"/>
        </w:rPr>
        <w:t>审，如考虑备选方案的，备选方案必须实质性响应招标文件要求</w:t>
      </w:r>
      <w:r>
        <w:rPr>
          <w:color w:val="auto"/>
          <w:highlight w:val="none"/>
        </w:rPr>
        <w:t>。</w:t>
      </w:r>
    </w:p>
    <w:p w14:paraId="073F800E">
      <w:pPr>
        <w:pStyle w:val="19"/>
        <w:rPr>
          <w:rFonts w:hint="eastAsia"/>
          <w:color w:val="auto"/>
          <w:highlight w:val="none"/>
        </w:rPr>
      </w:pPr>
      <w:r>
        <w:rPr>
          <w:rFonts w:hint="eastAsia"/>
          <w:color w:val="auto"/>
          <w:highlight w:val="none"/>
        </w:rPr>
        <w:t>34.2其它需要补充的其他内容：见“</w:t>
      </w:r>
      <w:r>
        <w:rPr>
          <w:rFonts w:hint="eastAsia"/>
          <w:b/>
          <w:color w:val="auto"/>
          <w:highlight w:val="none"/>
        </w:rPr>
        <w:t>投标人须知前附表</w:t>
      </w:r>
      <w:r>
        <w:rPr>
          <w:rFonts w:hint="eastAsia"/>
          <w:color w:val="auto"/>
          <w:highlight w:val="none"/>
        </w:rPr>
        <w:t>”。</w:t>
      </w:r>
    </w:p>
    <w:p w14:paraId="2A205CAC">
      <w:pPr>
        <w:rPr>
          <w:rStyle w:val="79"/>
          <w:color w:val="auto"/>
          <w:highlight w:val="none"/>
        </w:rPr>
      </w:pPr>
      <w:bookmarkStart w:id="64" w:name="_Toc17094"/>
      <w:bookmarkStart w:id="65" w:name="_Toc213141090"/>
    </w:p>
    <w:p w14:paraId="3690062E">
      <w:pPr>
        <w:rPr>
          <w:rFonts w:hint="eastAsia" w:ascii="宋体" w:hAnsi="宋体"/>
          <w:bCs/>
          <w:color w:val="auto"/>
          <w:sz w:val="36"/>
          <w:szCs w:val="36"/>
          <w:highlight w:val="none"/>
        </w:rPr>
      </w:pPr>
    </w:p>
    <w:p w14:paraId="3AF5E0E3">
      <w:pPr>
        <w:rPr>
          <w:rFonts w:hint="eastAsia" w:ascii="宋体" w:hAnsi="宋体"/>
          <w:bCs/>
          <w:color w:val="auto"/>
          <w:sz w:val="36"/>
          <w:szCs w:val="36"/>
          <w:highlight w:val="none"/>
        </w:rPr>
      </w:pPr>
      <w:r>
        <w:rPr>
          <w:rFonts w:hint="eastAsia" w:ascii="宋体" w:hAnsi="宋体"/>
          <w:bCs/>
          <w:color w:val="auto"/>
          <w:sz w:val="36"/>
          <w:szCs w:val="36"/>
          <w:highlight w:val="none"/>
        </w:rPr>
        <w:br w:type="page"/>
      </w:r>
    </w:p>
    <w:p w14:paraId="4E49E86E">
      <w:pPr>
        <w:pStyle w:val="4"/>
        <w:jc w:val="center"/>
        <w:rPr>
          <w:rFonts w:hint="eastAsia" w:ascii="宋体" w:hAnsi="宋体" w:eastAsia="宋体"/>
          <w:bCs/>
          <w:color w:val="auto"/>
          <w:sz w:val="36"/>
          <w:szCs w:val="36"/>
          <w:highlight w:val="none"/>
        </w:rPr>
      </w:pPr>
      <w:bookmarkStart w:id="66" w:name="_Hlk204851205"/>
      <w:r>
        <w:rPr>
          <w:rFonts w:hint="eastAsia" w:ascii="宋体" w:hAnsi="宋体" w:eastAsia="宋体"/>
          <w:bCs/>
          <w:color w:val="auto"/>
          <w:sz w:val="36"/>
          <w:szCs w:val="36"/>
          <w:highlight w:val="none"/>
        </w:rPr>
        <w:t>第三章 合同书样式及主要条款</w:t>
      </w:r>
      <w:bookmarkEnd w:id="64"/>
      <w:bookmarkEnd w:id="65"/>
    </w:p>
    <w:p w14:paraId="04669603">
      <w:pPr>
        <w:pStyle w:val="4"/>
        <w:jc w:val="center"/>
        <w:rPr>
          <w:rFonts w:hint="eastAsia" w:ascii="宋体" w:hAnsi="宋体" w:eastAsia="宋体"/>
          <w:bCs/>
          <w:color w:val="auto"/>
          <w:sz w:val="36"/>
          <w:szCs w:val="36"/>
          <w:highlight w:val="none"/>
        </w:rPr>
      </w:pPr>
      <w:bookmarkStart w:id="67" w:name="_Toc33095538"/>
      <w:bookmarkStart w:id="68" w:name="_Toc5944"/>
      <w:bookmarkStart w:id="69" w:name="_Toc213141091"/>
      <w:r>
        <w:rPr>
          <w:rFonts w:hint="eastAsia" w:ascii="宋体" w:hAnsi="宋体" w:eastAsia="宋体"/>
          <w:bCs/>
          <w:color w:val="auto"/>
          <w:sz w:val="36"/>
          <w:szCs w:val="36"/>
          <w:highlight w:val="none"/>
        </w:rPr>
        <w:t>合同条款前附表</w:t>
      </w:r>
      <w:bookmarkEnd w:id="67"/>
      <w:bookmarkEnd w:id="68"/>
      <w:bookmarkEnd w:id="69"/>
    </w:p>
    <w:bookmarkEnd w:id="66"/>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7819"/>
      </w:tblGrid>
      <w:tr w14:paraId="6C6C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122" w:type="dxa"/>
            <w:vAlign w:val="center"/>
          </w:tcPr>
          <w:p w14:paraId="6E95A098">
            <w:pPr>
              <w:pStyle w:val="19"/>
              <w:jc w:val="center"/>
              <w:rPr>
                <w:color w:val="auto"/>
                <w:highlight w:val="none"/>
              </w:rPr>
            </w:pPr>
            <w:r>
              <w:rPr>
                <w:rFonts w:hint="eastAsia"/>
                <w:color w:val="auto"/>
                <w:highlight w:val="none"/>
              </w:rPr>
              <w:t>序号</w:t>
            </w:r>
          </w:p>
        </w:tc>
        <w:tc>
          <w:tcPr>
            <w:tcW w:w="7819" w:type="dxa"/>
            <w:vAlign w:val="center"/>
          </w:tcPr>
          <w:p w14:paraId="7D3EC733">
            <w:pPr>
              <w:pStyle w:val="19"/>
              <w:jc w:val="center"/>
              <w:rPr>
                <w:color w:val="auto"/>
                <w:highlight w:val="none"/>
              </w:rPr>
            </w:pPr>
            <w:r>
              <w:rPr>
                <w:rFonts w:hint="eastAsia"/>
                <w:color w:val="auto"/>
                <w:highlight w:val="none"/>
              </w:rPr>
              <w:t>内      容</w:t>
            </w:r>
          </w:p>
        </w:tc>
      </w:tr>
      <w:tr w14:paraId="414A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1122" w:type="dxa"/>
            <w:vAlign w:val="center"/>
          </w:tcPr>
          <w:p w14:paraId="2863FFA2">
            <w:pPr>
              <w:pStyle w:val="19"/>
              <w:jc w:val="center"/>
              <w:rPr>
                <w:color w:val="auto"/>
                <w:highlight w:val="none"/>
              </w:rPr>
            </w:pPr>
            <w:r>
              <w:rPr>
                <w:rFonts w:hint="eastAsia"/>
                <w:color w:val="auto"/>
                <w:highlight w:val="none"/>
              </w:rPr>
              <w:t>1</w:t>
            </w:r>
          </w:p>
        </w:tc>
        <w:tc>
          <w:tcPr>
            <w:tcW w:w="7819" w:type="dxa"/>
            <w:vAlign w:val="center"/>
          </w:tcPr>
          <w:p w14:paraId="1F52B35C">
            <w:pPr>
              <w:pStyle w:val="19"/>
              <w:rPr>
                <w:color w:val="auto"/>
                <w:highlight w:val="none"/>
              </w:rPr>
            </w:pPr>
            <w:r>
              <w:rPr>
                <w:rFonts w:hint="eastAsia"/>
                <w:color w:val="auto"/>
                <w:highlight w:val="none"/>
              </w:rPr>
              <w:t>交货期、交货地点、交货方式及质量标准</w:t>
            </w:r>
          </w:p>
          <w:p w14:paraId="42B78B2A">
            <w:pPr>
              <w:pStyle w:val="19"/>
              <w:rPr>
                <w:color w:val="auto"/>
                <w:highlight w:val="none"/>
              </w:rPr>
            </w:pPr>
            <w:r>
              <w:rPr>
                <w:rFonts w:hint="eastAsia"/>
                <w:color w:val="auto"/>
                <w:highlight w:val="none"/>
              </w:rPr>
              <w:t>1）交货期：</w:t>
            </w:r>
            <w:r>
              <w:rPr>
                <w:rFonts w:hint="eastAsia"/>
                <w:color w:val="auto"/>
                <w:highlight w:val="none"/>
                <w:lang w:eastAsia="zh-CN"/>
              </w:rPr>
              <w:t>合同签订后20个日历天内完成设备的安装调试及验收</w:t>
            </w:r>
            <w:r>
              <w:rPr>
                <w:rFonts w:hint="eastAsia"/>
                <w:color w:val="auto"/>
                <w:highlight w:val="none"/>
              </w:rPr>
              <w:t>。</w:t>
            </w:r>
          </w:p>
          <w:p w14:paraId="1662B3AF">
            <w:pPr>
              <w:pStyle w:val="19"/>
              <w:rPr>
                <w:color w:val="auto"/>
                <w:highlight w:val="none"/>
              </w:rPr>
            </w:pPr>
            <w:r>
              <w:rPr>
                <w:color w:val="auto"/>
                <w:highlight w:val="none"/>
              </w:rPr>
              <w:t>2</w:t>
            </w:r>
            <w:r>
              <w:rPr>
                <w:rFonts w:hint="eastAsia"/>
                <w:color w:val="auto"/>
                <w:highlight w:val="none"/>
              </w:rPr>
              <w:t>）交货地点：</w:t>
            </w:r>
            <w:r>
              <w:rPr>
                <w:rFonts w:hint="eastAsia"/>
                <w:color w:val="auto"/>
                <w:highlight w:val="none"/>
                <w:lang w:eastAsia="zh-CN"/>
              </w:rPr>
              <w:t>怒江傈僳族自治州中医医院</w:t>
            </w:r>
            <w:r>
              <w:rPr>
                <w:rFonts w:hint="eastAsia"/>
                <w:color w:val="auto"/>
                <w:highlight w:val="none"/>
              </w:rPr>
              <w:t xml:space="preserve">指定地点。 </w:t>
            </w:r>
          </w:p>
          <w:p w14:paraId="639409DA">
            <w:pPr>
              <w:pStyle w:val="19"/>
              <w:rPr>
                <w:color w:val="auto"/>
                <w:highlight w:val="none"/>
              </w:rPr>
            </w:pPr>
            <w:r>
              <w:rPr>
                <w:color w:val="auto"/>
                <w:highlight w:val="none"/>
              </w:rPr>
              <w:t>3</w:t>
            </w:r>
            <w:r>
              <w:rPr>
                <w:rFonts w:hint="eastAsia"/>
                <w:color w:val="auto"/>
                <w:highlight w:val="none"/>
              </w:rPr>
              <w:t>）交货方式：货物送至采购人指定地点，并完成场地改造、设备就位、组装、调试及验收。</w:t>
            </w:r>
          </w:p>
        </w:tc>
      </w:tr>
      <w:tr w14:paraId="07C1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122" w:type="dxa"/>
            <w:vAlign w:val="center"/>
          </w:tcPr>
          <w:p w14:paraId="70EA2243">
            <w:pPr>
              <w:pStyle w:val="19"/>
              <w:jc w:val="center"/>
              <w:rPr>
                <w:color w:val="auto"/>
                <w:highlight w:val="none"/>
              </w:rPr>
            </w:pPr>
            <w:r>
              <w:rPr>
                <w:rFonts w:hint="eastAsia"/>
                <w:color w:val="auto"/>
                <w:highlight w:val="none"/>
              </w:rPr>
              <w:t>2</w:t>
            </w:r>
          </w:p>
        </w:tc>
        <w:tc>
          <w:tcPr>
            <w:tcW w:w="7819" w:type="dxa"/>
            <w:vAlign w:val="center"/>
          </w:tcPr>
          <w:p w14:paraId="34D1246D">
            <w:pPr>
              <w:pStyle w:val="19"/>
              <w:rPr>
                <w:rFonts w:hint="eastAsia"/>
                <w:color w:val="auto"/>
                <w:highlight w:val="none"/>
              </w:rPr>
            </w:pPr>
            <w:r>
              <w:rPr>
                <w:rFonts w:hint="eastAsia"/>
                <w:color w:val="auto"/>
                <w:highlight w:val="none"/>
              </w:rPr>
              <w:t>付款方式（具体以签订合同内容为准）：</w:t>
            </w:r>
          </w:p>
          <w:p w14:paraId="587E6114">
            <w:pPr>
              <w:pStyle w:val="19"/>
              <w:rPr>
                <w:rFonts w:hint="default" w:eastAsia="宋体"/>
                <w:color w:val="auto"/>
                <w:highlight w:val="none"/>
                <w:lang w:val="en-US" w:eastAsia="zh-CN"/>
              </w:rPr>
            </w:pPr>
            <w:r>
              <w:rPr>
                <w:rFonts w:hint="default" w:eastAsia="宋体"/>
                <w:color w:val="auto"/>
                <w:highlight w:val="none"/>
                <w:lang w:val="en-US" w:eastAsia="zh-CN"/>
              </w:rPr>
              <w:t>1、合同签订生效后，支付合同金额的</w:t>
            </w:r>
            <w:r>
              <w:rPr>
                <w:rFonts w:hint="eastAsia"/>
                <w:color w:val="auto"/>
                <w:highlight w:val="none"/>
                <w:lang w:val="en-US" w:eastAsia="zh-CN"/>
              </w:rPr>
              <w:t>3</w:t>
            </w:r>
            <w:r>
              <w:rPr>
                <w:rFonts w:hint="default" w:eastAsia="宋体"/>
                <w:color w:val="auto"/>
                <w:highlight w:val="none"/>
                <w:lang w:val="en-US" w:eastAsia="zh-CN"/>
              </w:rPr>
              <w:t>0%到乙方指定账户；</w:t>
            </w:r>
          </w:p>
          <w:p w14:paraId="5E858DAB">
            <w:pPr>
              <w:pStyle w:val="19"/>
              <w:rPr>
                <w:rFonts w:hint="eastAsia"/>
                <w:color w:val="auto"/>
                <w:highlight w:val="none"/>
                <w:lang w:val="en-US" w:eastAsia="zh-CN"/>
              </w:rPr>
            </w:pPr>
            <w:r>
              <w:rPr>
                <w:rFonts w:hint="default" w:eastAsia="宋体"/>
                <w:color w:val="auto"/>
                <w:highlight w:val="none"/>
                <w:lang w:val="en-US" w:eastAsia="zh-CN"/>
              </w:rPr>
              <w:t>2、</w:t>
            </w:r>
            <w:r>
              <w:rPr>
                <w:rFonts w:hint="eastAsia"/>
                <w:color w:val="auto"/>
                <w:highlight w:val="none"/>
                <w:lang w:val="en-US" w:eastAsia="zh-CN"/>
              </w:rPr>
              <w:t>设备到货后</w:t>
            </w:r>
            <w:r>
              <w:rPr>
                <w:rFonts w:hint="default" w:eastAsia="宋体"/>
                <w:color w:val="auto"/>
                <w:highlight w:val="none"/>
                <w:lang w:val="en-US" w:eastAsia="zh-CN"/>
              </w:rPr>
              <w:t>，支付合同金额的</w:t>
            </w:r>
            <w:r>
              <w:rPr>
                <w:rFonts w:hint="eastAsia"/>
                <w:color w:val="auto"/>
                <w:highlight w:val="none"/>
                <w:lang w:val="en-US" w:eastAsia="zh-CN"/>
              </w:rPr>
              <w:t>4</w:t>
            </w:r>
            <w:r>
              <w:rPr>
                <w:rFonts w:hint="default" w:eastAsia="宋体"/>
                <w:color w:val="auto"/>
                <w:highlight w:val="none"/>
                <w:lang w:val="en-US" w:eastAsia="zh-CN"/>
              </w:rPr>
              <w:t>0%到乙方指定账户</w:t>
            </w:r>
            <w:r>
              <w:rPr>
                <w:rFonts w:hint="eastAsia"/>
                <w:color w:val="auto"/>
                <w:highlight w:val="none"/>
                <w:lang w:val="en-US" w:eastAsia="zh-CN"/>
              </w:rPr>
              <w:t>；</w:t>
            </w:r>
          </w:p>
          <w:p w14:paraId="3D5CE094">
            <w:pPr>
              <w:pStyle w:val="19"/>
              <w:rPr>
                <w:rFonts w:hint="default" w:eastAsia="宋体"/>
                <w:color w:val="auto"/>
                <w:highlight w:val="none"/>
                <w:lang w:val="en-US" w:eastAsia="zh-CN"/>
              </w:rPr>
            </w:pPr>
            <w:r>
              <w:rPr>
                <w:rFonts w:hint="eastAsia"/>
                <w:color w:val="auto"/>
                <w:highlight w:val="none"/>
                <w:lang w:val="en-US" w:eastAsia="zh-CN"/>
              </w:rPr>
              <w:t>3、验收通过后，</w:t>
            </w:r>
            <w:r>
              <w:rPr>
                <w:rFonts w:hint="default" w:eastAsia="宋体"/>
                <w:color w:val="auto"/>
                <w:highlight w:val="none"/>
                <w:lang w:val="en-US" w:eastAsia="zh-CN"/>
              </w:rPr>
              <w:t>支付合同金额的</w:t>
            </w:r>
            <w:r>
              <w:rPr>
                <w:rFonts w:hint="eastAsia"/>
                <w:color w:val="auto"/>
                <w:highlight w:val="none"/>
                <w:lang w:val="en-US" w:eastAsia="zh-CN"/>
              </w:rPr>
              <w:t>3</w:t>
            </w:r>
            <w:r>
              <w:rPr>
                <w:rFonts w:hint="default" w:eastAsia="宋体"/>
                <w:color w:val="auto"/>
                <w:highlight w:val="none"/>
                <w:lang w:val="en-US" w:eastAsia="zh-CN"/>
              </w:rPr>
              <w:t>0%到乙方指定账户；</w:t>
            </w:r>
          </w:p>
        </w:tc>
      </w:tr>
    </w:tbl>
    <w:p w14:paraId="743A2AEE">
      <w:pPr>
        <w:keepNext w:val="0"/>
        <w:keepLines w:val="0"/>
        <w:pageBreakBefore w:val="0"/>
        <w:widowControl/>
        <w:suppressLineNumbers w:val="0"/>
        <w:kinsoku/>
        <w:wordWrap/>
        <w:overflowPunct/>
        <w:topLinePunct w:val="0"/>
        <w:autoSpaceDE/>
        <w:autoSpaceDN/>
        <w:bidi w:val="0"/>
        <w:adjustRightInd/>
        <w:snapToGrid/>
        <w:spacing w:line="560" w:lineRule="atLeast"/>
        <w:ind w:firstLine="422" w:firstLineChars="200"/>
        <w:jc w:val="left"/>
        <w:textAlignment w:val="auto"/>
        <w:rPr>
          <w:rFonts w:hint="eastAsia" w:ascii="仿宋" w:hAnsi="仿宋" w:eastAsia="仿宋" w:cs="仿宋"/>
          <w:color w:val="auto"/>
          <w:sz w:val="24"/>
          <w:szCs w:val="24"/>
          <w:highlight w:val="none"/>
          <w:u w:val="none"/>
        </w:rPr>
      </w:pPr>
      <w:r>
        <w:rPr>
          <w:rFonts w:ascii="宋体" w:hAnsi="宋体"/>
          <w:b/>
          <w:bCs/>
          <w:color w:val="auto"/>
          <w:szCs w:val="21"/>
          <w:highlight w:val="none"/>
        </w:rPr>
        <w:br w:type="page"/>
      </w:r>
      <w:bookmarkStart w:id="70" w:name="_Toc1814"/>
      <w:bookmarkStart w:id="71" w:name="_Toc22618"/>
      <w:bookmarkStart w:id="72" w:name="_Toc10340"/>
      <w:bookmarkStart w:id="73" w:name="_Toc433"/>
      <w:r>
        <w:rPr>
          <w:rFonts w:hint="eastAsia" w:ascii="仿宋" w:hAnsi="仿宋" w:eastAsia="仿宋" w:cs="仿宋"/>
          <w:color w:val="auto"/>
          <w:sz w:val="24"/>
          <w:szCs w:val="24"/>
          <w:highlight w:val="none"/>
          <w:u w:val="none"/>
        </w:rPr>
        <w:t>鉴于怒江傈僳族自</w:t>
      </w:r>
      <w:r>
        <w:rPr>
          <w:rFonts w:hint="eastAsia" w:ascii="仿宋" w:hAnsi="仿宋" w:eastAsia="仿宋" w:cs="仿宋"/>
          <w:i w:val="0"/>
          <w:iCs w:val="0"/>
          <w:color w:val="auto"/>
          <w:sz w:val="24"/>
          <w:szCs w:val="24"/>
          <w:highlight w:val="none"/>
          <w:u w:val="none"/>
          <w:lang w:val="en-US" w:eastAsia="zh-CN"/>
        </w:rPr>
        <w:t>治州中医医院于</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年</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月</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日</w:t>
      </w:r>
      <w:r>
        <w:rPr>
          <w:rFonts w:hint="eastAsia" w:ascii="仿宋" w:hAnsi="仿宋" w:eastAsia="仿宋" w:cs="仿宋"/>
          <w:i w:val="0"/>
          <w:iCs w:val="0"/>
          <w:color w:val="auto"/>
          <w:sz w:val="24"/>
          <w:szCs w:val="24"/>
          <w:highlight w:val="none"/>
          <w:u w:val="none"/>
          <w:lang w:val="en-US" w:eastAsia="zh-CN"/>
        </w:rPr>
        <w:t>以公开招标</w:t>
      </w:r>
      <w:r>
        <w:rPr>
          <w:rFonts w:hint="eastAsia" w:ascii="仿宋" w:hAnsi="仿宋" w:eastAsia="仿宋" w:cs="仿宋"/>
          <w:color w:val="auto"/>
          <w:sz w:val="24"/>
          <w:szCs w:val="24"/>
          <w:highlight w:val="none"/>
          <w:u w:val="none"/>
        </w:rPr>
        <w:t>的形式</w:t>
      </w:r>
      <w:r>
        <w:rPr>
          <w:rFonts w:hint="eastAsia" w:ascii="仿宋" w:hAnsi="仿宋" w:eastAsia="仿宋" w:cs="仿宋"/>
          <w:color w:val="auto"/>
          <w:sz w:val="24"/>
          <w:szCs w:val="24"/>
          <w:highlight w:val="none"/>
          <w:u w:val="single"/>
        </w:rPr>
        <w:t>对</w:t>
      </w:r>
      <w:r>
        <w:rPr>
          <w:rFonts w:hint="default" w:ascii="仿宋" w:hAnsi="仿宋" w:eastAsia="仿宋" w:cs="仿宋"/>
          <w:color w:val="auto"/>
          <w:sz w:val="24"/>
          <w:szCs w:val="24"/>
          <w:highlight w:val="none"/>
          <w:u w:val="single"/>
          <w:lang w:val="en-US"/>
        </w:rPr>
        <w:t xml:space="preserve">  </w:t>
      </w:r>
      <w:r>
        <w:rPr>
          <w:rFonts w:hint="eastAsia" w:ascii="仿宋" w:hAnsi="仿宋" w:eastAsia="仿宋" w:cs="仿宋"/>
          <w:color w:val="auto"/>
          <w:sz w:val="24"/>
          <w:szCs w:val="24"/>
          <w:highlight w:val="none"/>
          <w:u w:val="none"/>
        </w:rPr>
        <w:t>进行了采购。经</w:t>
      </w:r>
      <w:r>
        <w:rPr>
          <w:rFonts w:hint="eastAsia" w:ascii="仿宋" w:hAnsi="仿宋" w:eastAsia="仿宋" w:cs="仿宋"/>
          <w:color w:val="auto"/>
          <w:sz w:val="24"/>
          <w:szCs w:val="24"/>
          <w:highlight w:val="none"/>
          <w:u w:val="none"/>
          <w:lang w:val="en-US" w:eastAsia="zh-CN"/>
        </w:rPr>
        <w:t>评委工作组</w:t>
      </w:r>
      <w:r>
        <w:rPr>
          <w:rFonts w:hint="eastAsia" w:ascii="仿宋" w:hAnsi="仿宋" w:eastAsia="仿宋" w:cs="仿宋"/>
          <w:color w:val="auto"/>
          <w:sz w:val="24"/>
          <w:szCs w:val="24"/>
          <w:highlight w:val="none"/>
          <w:u w:val="none"/>
        </w:rPr>
        <w:t>评定，</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rPr>
        <w:t>为该项目成交供应商。现按照采购文件确定的事项签订本合同。</w:t>
      </w:r>
    </w:p>
    <w:p w14:paraId="1FC86C30">
      <w:pPr>
        <w:keepNext w:val="0"/>
        <w:keepLines w:val="0"/>
        <w:pageBreakBefore w:val="0"/>
        <w:widowControl/>
        <w:suppressLineNumbers w:val="0"/>
        <w:kinsoku/>
        <w:wordWrap/>
        <w:overflowPunct/>
        <w:topLinePunct w:val="0"/>
        <w:autoSpaceDE/>
        <w:autoSpaceDN/>
        <w:bidi w:val="0"/>
        <w:spacing w:line="560" w:lineRule="atLeast"/>
        <w:ind w:firstLine="480" w:firstLineChars="200"/>
        <w:jc w:val="left"/>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color w:val="auto"/>
          <w:sz w:val="24"/>
          <w:szCs w:val="24"/>
          <w:highlight w:val="none"/>
          <w:u w:val="none"/>
          <w:lang w:val="zh-CN"/>
        </w:rPr>
        <w:t>根据《中华人民共和国民法典》《中华人民共和国政府采购法》等相关法律法规之规定，按照平等、自愿、</w:t>
      </w:r>
      <w:r>
        <w:rPr>
          <w:rFonts w:hint="eastAsia" w:ascii="仿宋" w:hAnsi="仿宋" w:eastAsia="仿宋" w:cs="仿宋"/>
          <w:color w:val="auto"/>
          <w:sz w:val="24"/>
          <w:szCs w:val="24"/>
          <w:highlight w:val="none"/>
          <w:u w:val="none"/>
        </w:rPr>
        <w:t>诚实、信用</w:t>
      </w:r>
      <w:r>
        <w:rPr>
          <w:rFonts w:hint="eastAsia" w:ascii="仿宋" w:hAnsi="仿宋" w:eastAsia="仿宋" w:cs="仿宋"/>
          <w:color w:val="auto"/>
          <w:sz w:val="24"/>
          <w:szCs w:val="24"/>
          <w:highlight w:val="none"/>
          <w:u w:val="none"/>
          <w:lang w:val="zh-CN"/>
        </w:rPr>
        <w:t>原则，经</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怒江傈僳族自治州中医医院</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zh-CN"/>
        </w:rPr>
        <w:t>(甲方)和</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sz w:val="24"/>
          <w:szCs w:val="24"/>
          <w:highlight w:val="none"/>
          <w:u w:val="none"/>
          <w:lang w:val="zh-CN"/>
        </w:rPr>
        <w:t>(乙方)</w:t>
      </w:r>
      <w:r>
        <w:rPr>
          <w:rFonts w:hint="eastAsia" w:ascii="仿宋" w:hAnsi="仿宋" w:eastAsia="仿宋" w:cs="仿宋"/>
          <w:color w:val="auto"/>
          <w:sz w:val="24"/>
          <w:szCs w:val="24"/>
          <w:highlight w:val="none"/>
          <w:u w:val="none"/>
        </w:rPr>
        <w:t>充分、友好</w:t>
      </w:r>
      <w:r>
        <w:rPr>
          <w:rFonts w:hint="eastAsia" w:ascii="仿宋" w:hAnsi="仿宋" w:eastAsia="仿宋" w:cs="仿宋"/>
          <w:color w:val="auto"/>
          <w:sz w:val="24"/>
          <w:szCs w:val="24"/>
          <w:highlight w:val="none"/>
          <w:u w:val="none"/>
          <w:lang w:val="zh-CN"/>
        </w:rPr>
        <w:t>协</w:t>
      </w:r>
      <w:r>
        <w:rPr>
          <w:rFonts w:hint="eastAsia" w:ascii="仿宋" w:hAnsi="仿宋" w:eastAsia="仿宋" w:cs="仿宋"/>
          <w:b w:val="0"/>
          <w:bCs w:val="0"/>
          <w:color w:val="auto"/>
          <w:sz w:val="24"/>
          <w:szCs w:val="24"/>
          <w:highlight w:val="none"/>
          <w:u w:val="none"/>
          <w:lang w:val="zh-CN"/>
        </w:rPr>
        <w:t>商，约定以下合同</w:t>
      </w:r>
      <w:r>
        <w:rPr>
          <w:rFonts w:hint="eastAsia" w:ascii="仿宋" w:hAnsi="仿宋" w:eastAsia="仿宋" w:cs="仿宋"/>
          <w:b w:val="0"/>
          <w:bCs w:val="0"/>
          <w:color w:val="auto"/>
          <w:sz w:val="24"/>
          <w:szCs w:val="24"/>
          <w:highlight w:val="none"/>
          <w:u w:val="none"/>
        </w:rPr>
        <w:t>条款，以兹共同遵守、全面履行。</w:t>
      </w:r>
    </w:p>
    <w:p w14:paraId="77F0F9FD">
      <w:pPr>
        <w:keepNext w:val="0"/>
        <w:keepLines w:val="0"/>
        <w:pageBreakBefore w:val="0"/>
        <w:widowControl w:val="0"/>
        <w:kinsoku/>
        <w:wordWrap/>
        <w:overflowPunct/>
        <w:topLinePunct w:val="0"/>
        <w:autoSpaceDE/>
        <w:autoSpaceDN/>
        <w:bidi w:val="0"/>
        <w:adjustRightInd w:val="0"/>
        <w:snapToGrid w:val="0"/>
        <w:spacing w:line="560" w:lineRule="atLeast"/>
        <w:ind w:firstLine="549" w:firstLineChars="228"/>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u w:val="none"/>
          <w:lang w:val="en-US" w:eastAsia="zh-CN"/>
        </w:rPr>
        <w:t>一、产品、价格、厂家、型号等</w:t>
      </w:r>
      <w:r>
        <w:rPr>
          <w:rFonts w:hint="eastAsia" w:ascii="仿宋" w:hAnsi="仿宋" w:eastAsia="仿宋" w:cs="仿宋"/>
          <w:b/>
          <w:bCs/>
          <w:color w:val="auto"/>
          <w:sz w:val="24"/>
          <w:szCs w:val="24"/>
          <w:highlight w:val="none"/>
          <w:lang w:val="en-US" w:eastAsia="zh-CN"/>
        </w:rPr>
        <w:t>如下：（见附件）</w:t>
      </w:r>
    </w:p>
    <w:tbl>
      <w:tblPr>
        <w:tblStyle w:val="34"/>
        <w:tblW w:w="10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440"/>
        <w:gridCol w:w="1248"/>
        <w:gridCol w:w="1841"/>
        <w:gridCol w:w="1243"/>
        <w:gridCol w:w="1383"/>
        <w:gridCol w:w="1317"/>
        <w:gridCol w:w="1007"/>
      </w:tblGrid>
      <w:tr w14:paraId="32AF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44998861">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序号</w:t>
            </w:r>
          </w:p>
        </w:tc>
        <w:tc>
          <w:tcPr>
            <w:tcW w:w="1440" w:type="dxa"/>
            <w:noWrap w:val="0"/>
            <w:vAlign w:val="center"/>
          </w:tcPr>
          <w:p w14:paraId="744D62C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产品名称</w:t>
            </w:r>
          </w:p>
        </w:tc>
        <w:tc>
          <w:tcPr>
            <w:tcW w:w="1248" w:type="dxa"/>
            <w:noWrap w:val="0"/>
            <w:vAlign w:val="center"/>
          </w:tcPr>
          <w:p w14:paraId="6A63AF6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品牌</w:t>
            </w:r>
          </w:p>
        </w:tc>
        <w:tc>
          <w:tcPr>
            <w:tcW w:w="1841" w:type="dxa"/>
            <w:noWrap w:val="0"/>
            <w:vAlign w:val="center"/>
          </w:tcPr>
          <w:p w14:paraId="78B9DBD4">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生产厂家</w:t>
            </w:r>
          </w:p>
        </w:tc>
        <w:tc>
          <w:tcPr>
            <w:tcW w:w="1243" w:type="dxa"/>
            <w:noWrap w:val="0"/>
            <w:vAlign w:val="center"/>
          </w:tcPr>
          <w:p w14:paraId="2B79D6A8">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型号</w:t>
            </w:r>
          </w:p>
        </w:tc>
        <w:tc>
          <w:tcPr>
            <w:tcW w:w="1383" w:type="dxa"/>
            <w:noWrap w:val="0"/>
            <w:vAlign w:val="center"/>
          </w:tcPr>
          <w:p w14:paraId="4ADE39C3">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单价</w:t>
            </w:r>
          </w:p>
        </w:tc>
        <w:tc>
          <w:tcPr>
            <w:tcW w:w="1317" w:type="dxa"/>
            <w:noWrap w:val="0"/>
            <w:vAlign w:val="center"/>
          </w:tcPr>
          <w:p w14:paraId="184F3E2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总价</w:t>
            </w:r>
          </w:p>
        </w:tc>
        <w:tc>
          <w:tcPr>
            <w:tcW w:w="1007" w:type="dxa"/>
            <w:noWrap w:val="0"/>
            <w:vAlign w:val="center"/>
          </w:tcPr>
          <w:p w14:paraId="2D33E2BB">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i w:val="0"/>
                <w:color w:val="auto"/>
                <w:kern w:val="0"/>
                <w:sz w:val="24"/>
                <w:szCs w:val="24"/>
                <w:highlight w:val="none"/>
                <w:u w:val="none"/>
                <w:lang w:val="en-US" w:eastAsia="zh-CN" w:bidi="ar"/>
              </w:rPr>
              <w:t>交货期</w:t>
            </w:r>
          </w:p>
        </w:tc>
      </w:tr>
      <w:tr w14:paraId="5D73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2BAF5AD7">
            <w:pPr>
              <w:pStyle w:val="2"/>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color w:val="auto"/>
                <w:sz w:val="24"/>
                <w:szCs w:val="24"/>
                <w:highlight w:val="none"/>
                <w:lang w:val="en-US" w:eastAsia="zh-CN"/>
              </w:rPr>
            </w:pPr>
          </w:p>
        </w:tc>
        <w:tc>
          <w:tcPr>
            <w:tcW w:w="1440" w:type="dxa"/>
            <w:noWrap w:val="0"/>
            <w:vAlign w:val="center"/>
          </w:tcPr>
          <w:p w14:paraId="4E5FE09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248" w:type="dxa"/>
            <w:noWrap w:val="0"/>
            <w:vAlign w:val="center"/>
          </w:tcPr>
          <w:p w14:paraId="5B84ED37">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62DAFBEE">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31AE2406">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3479202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317" w:type="dxa"/>
            <w:noWrap w:val="0"/>
            <w:vAlign w:val="center"/>
          </w:tcPr>
          <w:p w14:paraId="4CDB9C65">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7A0F5827">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776E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687BDEF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440" w:type="dxa"/>
            <w:noWrap w:val="0"/>
            <w:vAlign w:val="center"/>
          </w:tcPr>
          <w:p w14:paraId="7265CA59">
            <w:pPr>
              <w:keepNext w:val="0"/>
              <w:keepLines w:val="0"/>
              <w:pageBreakBefore w:val="0"/>
              <w:widowControl w:val="0"/>
              <w:kinsoku/>
              <w:wordWrap/>
              <w:overflowPunct/>
              <w:topLinePunct w:val="0"/>
              <w:autoSpaceDE/>
              <w:autoSpaceDN/>
              <w:bidi w:val="0"/>
              <w:snapToGrid/>
              <w:spacing w:line="560" w:lineRule="atLeast"/>
              <w:ind w:left="0" w:leftChars="0"/>
              <w:jc w:val="center"/>
              <w:textAlignment w:val="auto"/>
              <w:rPr>
                <w:rFonts w:hint="eastAsia" w:ascii="仿宋" w:hAnsi="仿宋" w:eastAsia="仿宋" w:cs="仿宋"/>
                <w:color w:val="auto"/>
                <w:kern w:val="2"/>
                <w:sz w:val="24"/>
                <w:szCs w:val="24"/>
                <w:highlight w:val="none"/>
                <w:lang w:val="en-US" w:eastAsia="zh-CN" w:bidi="ar-SA"/>
              </w:rPr>
            </w:pPr>
          </w:p>
        </w:tc>
        <w:tc>
          <w:tcPr>
            <w:tcW w:w="1248" w:type="dxa"/>
            <w:noWrap w:val="0"/>
            <w:vAlign w:val="center"/>
          </w:tcPr>
          <w:p w14:paraId="0F87CC5C">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5FD4A2B1">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45BFB35D">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0BB15AC8">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317" w:type="dxa"/>
            <w:noWrap w:val="0"/>
            <w:vAlign w:val="center"/>
          </w:tcPr>
          <w:p w14:paraId="66183F40">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0DD3F4D4">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44EF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0F8255D2">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440" w:type="dxa"/>
            <w:noWrap w:val="0"/>
            <w:vAlign w:val="center"/>
          </w:tcPr>
          <w:p w14:paraId="0CFF8590">
            <w:pPr>
              <w:keepNext w:val="0"/>
              <w:keepLines w:val="0"/>
              <w:pageBreakBefore w:val="0"/>
              <w:widowControl w:val="0"/>
              <w:kinsoku/>
              <w:wordWrap/>
              <w:overflowPunct/>
              <w:topLinePunct w:val="0"/>
              <w:autoSpaceDE/>
              <w:autoSpaceDN/>
              <w:bidi w:val="0"/>
              <w:snapToGrid/>
              <w:spacing w:line="560" w:lineRule="atLeast"/>
              <w:jc w:val="both"/>
              <w:textAlignment w:val="auto"/>
              <w:rPr>
                <w:rFonts w:hint="eastAsia" w:ascii="仿宋" w:hAnsi="仿宋" w:eastAsia="仿宋" w:cs="仿宋"/>
                <w:color w:val="auto"/>
                <w:kern w:val="2"/>
                <w:sz w:val="24"/>
                <w:szCs w:val="24"/>
                <w:highlight w:val="none"/>
                <w:lang w:val="en-US" w:eastAsia="zh-CN" w:bidi="ar-SA"/>
              </w:rPr>
            </w:pPr>
          </w:p>
        </w:tc>
        <w:tc>
          <w:tcPr>
            <w:tcW w:w="1248" w:type="dxa"/>
            <w:noWrap w:val="0"/>
            <w:vAlign w:val="center"/>
          </w:tcPr>
          <w:p w14:paraId="28EAF039">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5E840CC2">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67B3A201">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0E7E6DF6">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合计</w:t>
            </w:r>
          </w:p>
        </w:tc>
        <w:tc>
          <w:tcPr>
            <w:tcW w:w="1317" w:type="dxa"/>
            <w:noWrap w:val="0"/>
            <w:vAlign w:val="center"/>
          </w:tcPr>
          <w:p w14:paraId="13C2F29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199268C6">
            <w:pPr>
              <w:keepNext w:val="0"/>
              <w:keepLines w:val="0"/>
              <w:pageBreakBefore w:val="0"/>
              <w:widowControl w:val="0"/>
              <w:kinsoku/>
              <w:wordWrap/>
              <w:overflowPunct/>
              <w:topLinePunct w:val="0"/>
              <w:autoSpaceDE/>
              <w:autoSpaceDN/>
              <w:bidi w:val="0"/>
              <w:spacing w:line="560" w:lineRule="atLeast"/>
              <w:jc w:val="both"/>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12D6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0129" w:type="dxa"/>
            <w:gridSpan w:val="8"/>
            <w:noWrap w:val="0"/>
            <w:vAlign w:val="center"/>
          </w:tcPr>
          <w:p w14:paraId="39CC915D">
            <w:pPr>
              <w:keepNext w:val="0"/>
              <w:keepLines w:val="0"/>
              <w:pageBreakBefore w:val="0"/>
              <w:widowControl w:val="0"/>
              <w:kinsoku/>
              <w:wordWrap/>
              <w:overflowPunct/>
              <w:topLinePunct w:val="0"/>
              <w:autoSpaceDE/>
              <w:autoSpaceDN/>
              <w:bidi w:val="0"/>
              <w:spacing w:line="560" w:lineRule="atLeast"/>
              <w:jc w:val="left"/>
              <w:textAlignment w:val="auto"/>
              <w:rPr>
                <w:rFonts w:hint="eastAsia" w:ascii="仿宋" w:hAnsi="仿宋" w:eastAsia="仿宋" w:cs="仿宋"/>
                <w:b w:val="0"/>
                <w:bCs w:val="0"/>
                <w:color w:val="auto"/>
                <w:sz w:val="24"/>
                <w:szCs w:val="24"/>
                <w:highlight w:val="none"/>
                <w:u w:val="single"/>
                <w:lang w:val="en-US" w:eastAsia="zh-CN"/>
              </w:rPr>
            </w:pPr>
            <w:r>
              <w:rPr>
                <w:rFonts w:hint="eastAsia" w:ascii="仿宋" w:hAnsi="仿宋" w:eastAsia="仿宋" w:cs="仿宋"/>
                <w:b w:val="0"/>
                <w:bCs w:val="0"/>
                <w:color w:val="auto"/>
                <w:sz w:val="24"/>
                <w:szCs w:val="24"/>
                <w:highlight w:val="none"/>
              </w:rPr>
              <w:t>合同总金额（大写）人民币：</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，小写：</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元。</w:t>
            </w:r>
          </w:p>
          <w:p w14:paraId="576834F6">
            <w:pPr>
              <w:keepNext w:val="0"/>
              <w:keepLines w:val="0"/>
              <w:pageBreakBefore w:val="0"/>
              <w:widowControl w:val="0"/>
              <w:kinsoku/>
              <w:wordWrap/>
              <w:overflowPunct/>
              <w:topLinePunct w:val="0"/>
              <w:autoSpaceDE/>
              <w:autoSpaceDN/>
              <w:bidi w:val="0"/>
              <w:spacing w:line="560" w:lineRule="atLeast"/>
              <w:jc w:val="left"/>
              <w:textAlignment w:val="auto"/>
              <w:rPr>
                <w:rFonts w:hint="eastAsia" w:ascii="仿宋" w:hAnsi="仿宋" w:eastAsia="仿宋" w:cs="仿宋"/>
                <w:b w:val="0"/>
                <w:bCs w:val="0"/>
                <w:color w:val="auto"/>
                <w:sz w:val="18"/>
                <w:szCs w:val="18"/>
                <w:highlight w:val="none"/>
                <w:vertAlign w:val="baseline"/>
                <w:lang w:val="en-US" w:eastAsia="zh-CN"/>
              </w:rPr>
            </w:pPr>
            <w:r>
              <w:rPr>
                <w:rFonts w:hint="eastAsia" w:ascii="仿宋" w:hAnsi="仿宋" w:eastAsia="仿宋" w:cs="仿宋"/>
                <w:b w:val="0"/>
                <w:bCs w:val="0"/>
                <w:color w:val="auto"/>
                <w:sz w:val="24"/>
                <w:szCs w:val="24"/>
                <w:highlight w:val="none"/>
                <w:lang w:eastAsia="zh-CN"/>
              </w:rPr>
              <w:t>注：</w:t>
            </w:r>
            <w:r>
              <w:rPr>
                <w:rFonts w:hint="eastAsia" w:ascii="仿宋" w:hAnsi="仿宋" w:eastAsia="仿宋" w:cs="仿宋"/>
                <w:b w:val="0"/>
                <w:bCs w:val="0"/>
                <w:color w:val="auto"/>
                <w:sz w:val="24"/>
                <w:szCs w:val="24"/>
                <w:highlight w:val="none"/>
              </w:rPr>
              <w:t>合同总金额包含</w:t>
            </w:r>
            <w:r>
              <w:rPr>
                <w:rFonts w:hint="eastAsia" w:ascii="仿宋" w:hAnsi="仿宋" w:eastAsia="仿宋" w:cs="仿宋"/>
                <w:b w:val="0"/>
                <w:bCs w:val="0"/>
                <w:color w:val="auto"/>
                <w:sz w:val="24"/>
                <w:szCs w:val="24"/>
                <w:highlight w:val="none"/>
                <w:lang w:eastAsia="zh-CN"/>
              </w:rPr>
              <w:t>但不限于</w:t>
            </w:r>
            <w:r>
              <w:rPr>
                <w:rFonts w:hint="eastAsia" w:ascii="仿宋" w:hAnsi="仿宋" w:eastAsia="仿宋" w:cs="仿宋"/>
                <w:b w:val="0"/>
                <w:bCs w:val="0"/>
                <w:color w:val="auto"/>
                <w:sz w:val="24"/>
                <w:szCs w:val="24"/>
                <w:highlight w:val="none"/>
              </w:rPr>
              <w:t>备件、专用工具、安装、调试、检验、技术培训及技术资料和运输保险、税费等一切费用</w:t>
            </w:r>
            <w:r>
              <w:rPr>
                <w:rFonts w:hint="eastAsia" w:ascii="仿宋" w:hAnsi="仿宋" w:eastAsia="仿宋" w:cs="仿宋"/>
                <w:b w:val="0"/>
                <w:bCs w:val="0"/>
                <w:color w:val="auto"/>
                <w:sz w:val="24"/>
                <w:szCs w:val="24"/>
                <w:highlight w:val="none"/>
                <w:lang w:eastAsia="zh-CN"/>
              </w:rPr>
              <w:t>。</w:t>
            </w:r>
          </w:p>
        </w:tc>
      </w:tr>
    </w:tbl>
    <w:p w14:paraId="03CFF218">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rPr>
        <w:t>交货方式</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交货地点</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交货时间</w:t>
      </w:r>
    </w:p>
    <w:p w14:paraId="288CDBBA">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2.1交货方式：货物送至采购人指定地点，并完成场地改造、设备就位、组装、调试及验收</w:t>
      </w:r>
      <w:r>
        <w:rPr>
          <w:rFonts w:hint="eastAsia" w:ascii="仿宋" w:hAnsi="仿宋" w:eastAsia="仿宋" w:cs="仿宋"/>
          <w:b w:val="0"/>
          <w:bCs w:val="0"/>
          <w:color w:val="auto"/>
          <w:sz w:val="24"/>
          <w:szCs w:val="24"/>
          <w:highlight w:val="none"/>
          <w:lang w:val="en-US" w:eastAsia="zh-CN"/>
        </w:rPr>
        <w:t>。</w:t>
      </w:r>
    </w:p>
    <w:p w14:paraId="253068F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2.2交货地点：</w:t>
      </w:r>
      <w:r>
        <w:rPr>
          <w:rFonts w:hint="eastAsia" w:ascii="仿宋" w:hAnsi="仿宋" w:eastAsia="仿宋" w:cs="仿宋"/>
          <w:color w:val="auto"/>
          <w:sz w:val="24"/>
          <w:szCs w:val="24"/>
          <w:highlight w:val="none"/>
          <w:lang w:val="en-US" w:eastAsia="zh-CN"/>
        </w:rPr>
        <w:t>怒江州中医医院指定地点。</w:t>
      </w:r>
      <w:r>
        <w:rPr>
          <w:rFonts w:hint="eastAsia" w:ascii="仿宋" w:hAnsi="仿宋" w:eastAsia="仿宋" w:cs="仿宋"/>
          <w:color w:val="auto"/>
          <w:sz w:val="24"/>
          <w:szCs w:val="24"/>
          <w:highlight w:val="none"/>
        </w:rPr>
        <w:t xml:space="preserve">       </w:t>
      </w:r>
    </w:p>
    <w:p w14:paraId="44222A6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 xml:space="preserve"> </w:t>
      </w:r>
      <w:r>
        <w:rPr>
          <w:rFonts w:hint="eastAsia" w:ascii="仿宋" w:hAnsi="仿宋" w:eastAsia="仿宋" w:cs="仿宋"/>
          <w:b w:val="0"/>
          <w:bCs w:val="0"/>
          <w:color w:val="auto"/>
          <w:sz w:val="24"/>
          <w:szCs w:val="24"/>
          <w:highlight w:val="none"/>
          <w:lang w:val="en-US" w:eastAsia="zh-CN"/>
        </w:rPr>
        <w:t>交货时间：合同签订后</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个日历天内完成设备的安装调试及验收。</w:t>
      </w:r>
      <w:r>
        <w:rPr>
          <w:rFonts w:hint="eastAsia" w:ascii="仿宋" w:hAnsi="仿宋" w:eastAsia="仿宋" w:cs="仿宋"/>
          <w:color w:val="auto"/>
          <w:sz w:val="24"/>
          <w:szCs w:val="24"/>
          <w:highlight w:val="none"/>
        </w:rPr>
        <w:t xml:space="preserve">          </w:t>
      </w:r>
    </w:p>
    <w:p w14:paraId="4383C4B7">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lang w:eastAsia="zh-CN"/>
        </w:rPr>
        <w:t>供货清单</w:t>
      </w:r>
      <w:r>
        <w:rPr>
          <w:rFonts w:hint="eastAsia" w:ascii="仿宋" w:hAnsi="仿宋" w:eastAsia="仿宋" w:cs="仿宋"/>
          <w:b/>
          <w:bCs/>
          <w:color w:val="auto"/>
          <w:sz w:val="24"/>
          <w:szCs w:val="24"/>
          <w:highlight w:val="none"/>
          <w:lang w:val="en-US" w:eastAsia="zh-CN"/>
        </w:rPr>
        <w:t>及内容：见招标文件。</w:t>
      </w:r>
    </w:p>
    <w:p w14:paraId="009732BD">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w:t>
      </w:r>
      <w:r>
        <w:rPr>
          <w:rFonts w:hint="eastAsia" w:ascii="仿宋" w:hAnsi="仿宋" w:eastAsia="仿宋" w:cs="仿宋"/>
          <w:b/>
          <w:bCs/>
          <w:color w:val="auto"/>
          <w:sz w:val="24"/>
          <w:szCs w:val="24"/>
          <w:highlight w:val="none"/>
          <w:lang w:eastAsia="zh-CN"/>
        </w:rPr>
        <w:t>付款方式、条件</w:t>
      </w:r>
      <w:r>
        <w:rPr>
          <w:rFonts w:hint="eastAsia" w:ascii="仿宋" w:hAnsi="仿宋" w:eastAsia="仿宋" w:cs="仿宋"/>
          <w:b/>
          <w:bCs/>
          <w:color w:val="auto"/>
          <w:sz w:val="24"/>
          <w:szCs w:val="24"/>
          <w:highlight w:val="none"/>
          <w:lang w:val="en-US" w:eastAsia="zh-CN"/>
        </w:rPr>
        <w:t>。</w:t>
      </w:r>
    </w:p>
    <w:p w14:paraId="7E3B3D64">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outlineLvl w:val="9"/>
        <w:rPr>
          <w:rFonts w:hint="eastAsia" w:ascii="仿宋" w:hAnsi="仿宋" w:eastAsia="仿宋" w:cs="仿宋"/>
          <w:color w:val="auto"/>
          <w:sz w:val="24"/>
          <w:szCs w:val="24"/>
          <w:highlight w:val="none"/>
        </w:rPr>
      </w:pPr>
      <w:bookmarkStart w:id="74" w:name="_Toc580"/>
      <w:r>
        <w:rPr>
          <w:rFonts w:hint="eastAsia" w:ascii="仿宋" w:hAnsi="仿宋" w:eastAsia="仿宋" w:cs="仿宋"/>
          <w:color w:val="auto"/>
          <w:sz w:val="24"/>
          <w:szCs w:val="24"/>
          <w:highlight w:val="none"/>
        </w:rPr>
        <w:t>4.1付款方式：</w:t>
      </w:r>
      <w:bookmarkEnd w:id="74"/>
    </w:p>
    <w:p w14:paraId="60FD2228">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szCs w:val="24"/>
          <w:highlight w:val="none"/>
          <w:lang w:val="en-US" w:eastAsia="zh-CN"/>
        </w:rPr>
        <w:t>（1）合同签订生效后，支付合同金额的30%到乙方指定账户，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p w14:paraId="58B5C80F">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（2）设备到货后，支付合同金额的40%到乙方指定账户，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p w14:paraId="45A405CF">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验收通过后，支付合同金额的30%到乙方指定账户，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bookmarkEnd w:id="70"/>
    <w:bookmarkEnd w:id="71"/>
    <w:bookmarkEnd w:id="72"/>
    <w:p w14:paraId="5451253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outlineLvl w:val="9"/>
        <w:rPr>
          <w:rFonts w:hint="eastAsia" w:ascii="仿宋" w:hAnsi="仿宋" w:eastAsia="仿宋" w:cs="仿宋"/>
          <w:color w:val="auto"/>
          <w:sz w:val="24"/>
          <w:szCs w:val="24"/>
          <w:highlight w:val="none"/>
        </w:rPr>
      </w:pPr>
      <w:bookmarkStart w:id="75" w:name="_Toc3267"/>
      <w:r>
        <w:rPr>
          <w:rFonts w:hint="eastAsia" w:ascii="仿宋" w:hAnsi="仿宋" w:eastAsia="仿宋" w:cs="仿宋"/>
          <w:color w:val="auto"/>
          <w:sz w:val="24"/>
          <w:szCs w:val="24"/>
          <w:highlight w:val="none"/>
        </w:rPr>
        <w:t>4.2交货条件：</w:t>
      </w:r>
      <w:bookmarkEnd w:id="75"/>
    </w:p>
    <w:p w14:paraId="6AFDDB13">
      <w:pPr>
        <w:keepNext w:val="0"/>
        <w:keepLines w:val="0"/>
        <w:pageBreakBefore w:val="0"/>
        <w:kinsoku/>
        <w:wordWrap/>
        <w:overflowPunct/>
        <w:topLinePunct w:val="0"/>
        <w:autoSpaceDE/>
        <w:autoSpaceDN/>
        <w:bidi w:val="0"/>
        <w:adjustRightInd/>
        <w:snapToGrid w:val="0"/>
        <w:spacing w:line="560" w:lineRule="atLeast"/>
        <w:ind w:firstLine="436" w:firstLineChars="200"/>
        <w:textAlignment w:val="auto"/>
        <w:rPr>
          <w:rFonts w:hint="eastAsia" w:ascii="仿宋" w:hAnsi="仿宋" w:eastAsia="仿宋" w:cs="仿宋"/>
          <w:color w:val="auto"/>
          <w:spacing w:val="-11"/>
          <w:sz w:val="24"/>
          <w:szCs w:val="24"/>
          <w:highlight w:val="none"/>
        </w:rPr>
      </w:pPr>
      <w:r>
        <w:rPr>
          <w:rFonts w:hint="eastAsia" w:ascii="仿宋" w:hAnsi="仿宋" w:eastAsia="仿宋" w:cs="仿宋"/>
          <w:color w:val="auto"/>
          <w:spacing w:val="-11"/>
          <w:sz w:val="24"/>
          <w:szCs w:val="24"/>
          <w:highlight w:val="none"/>
        </w:rPr>
        <w:t>现场交货条件下，乙方要求付款应提交下列单证和文件。</w:t>
      </w:r>
    </w:p>
    <w:p w14:paraId="0B5F6F4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a.金额为有关合同货物价格</w:t>
      </w:r>
      <w:r>
        <w:rPr>
          <w:rFonts w:hint="eastAsia" w:ascii="仿宋" w:hAnsi="仿宋" w:eastAsia="仿宋" w:cs="仿宋"/>
          <w:color w:val="auto"/>
          <w:sz w:val="24"/>
          <w:szCs w:val="24"/>
          <w:highlight w:val="none"/>
          <w:lang w:val="en-US" w:eastAsia="zh-CN"/>
        </w:rPr>
        <w:t>100</w:t>
      </w:r>
      <w:r>
        <w:rPr>
          <w:rFonts w:hint="eastAsia" w:ascii="仿宋" w:hAnsi="仿宋" w:eastAsia="仿宋" w:cs="仿宋"/>
          <w:color w:val="auto"/>
          <w:sz w:val="24"/>
          <w:szCs w:val="24"/>
          <w:highlight w:val="none"/>
        </w:rPr>
        <w:t>%的正式发票。</w:t>
      </w:r>
    </w:p>
    <w:p w14:paraId="0D012CE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b.制造厂家出具的货物质量合格证书。</w:t>
      </w:r>
    </w:p>
    <w:p w14:paraId="6E70B657">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c.甲方已收讫货物的验收凭证。</w:t>
      </w:r>
    </w:p>
    <w:p w14:paraId="02A0B625">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d.甲方签发的验收合格</w:t>
      </w:r>
      <w:r>
        <w:rPr>
          <w:rFonts w:hint="eastAsia" w:ascii="仿宋" w:hAnsi="仿宋" w:eastAsia="仿宋" w:cs="仿宋"/>
          <w:color w:val="auto"/>
          <w:sz w:val="24"/>
          <w:szCs w:val="24"/>
          <w:highlight w:val="none"/>
          <w:lang w:val="en-US" w:eastAsia="zh-CN"/>
        </w:rPr>
        <w:t>证明</w:t>
      </w:r>
      <w:r>
        <w:rPr>
          <w:rFonts w:hint="eastAsia" w:ascii="仿宋" w:hAnsi="仿宋" w:eastAsia="仿宋" w:cs="仿宋"/>
          <w:color w:val="auto"/>
          <w:sz w:val="24"/>
          <w:szCs w:val="24"/>
          <w:highlight w:val="none"/>
        </w:rPr>
        <w:t>。</w:t>
      </w:r>
    </w:p>
    <w:p w14:paraId="6E50D9B8">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质量要求和技术标准</w:t>
      </w:r>
    </w:p>
    <w:p w14:paraId="1088E8F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满足国家及行业现行相关标准及规范。</w:t>
      </w:r>
    </w:p>
    <w:p w14:paraId="5E7B395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安装调试服务及技术资料应严格按照</w:t>
      </w:r>
      <w:r>
        <w:rPr>
          <w:rFonts w:hint="eastAsia" w:ascii="仿宋" w:hAnsi="仿宋" w:eastAsia="仿宋" w:cs="仿宋"/>
          <w:color w:val="auto"/>
          <w:sz w:val="24"/>
          <w:szCs w:val="24"/>
          <w:highlight w:val="none"/>
          <w:lang w:eastAsia="zh-CN"/>
        </w:rPr>
        <w:t>公开招标文件</w:t>
      </w:r>
      <w:r>
        <w:rPr>
          <w:rFonts w:hint="eastAsia" w:ascii="仿宋" w:hAnsi="仿宋" w:eastAsia="仿宋" w:cs="仿宋"/>
          <w:color w:val="auto"/>
          <w:sz w:val="24"/>
          <w:szCs w:val="24"/>
          <w:highlight w:val="none"/>
        </w:rPr>
        <w:t>中所列明的条款执行。</w:t>
      </w:r>
    </w:p>
    <w:p w14:paraId="2C95D94D">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产品验收</w:t>
      </w:r>
    </w:p>
    <w:p w14:paraId="561FD9AA">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7.1验收方式：投标人交货时，采购人组织验收小组或指定代理人统一验收，采购人认为必要时可邀请有关专家参与共同验收，验收时采购人将按照国家相关标准或招标文件所载明的标准和方法进行验收；</w:t>
      </w:r>
    </w:p>
    <w:p w14:paraId="6754F43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7.2按国家及相关行业验收标准验收以及合同条款验收，如有残缺、缝合等质量问题无条件包退包换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验收结果经双方确认后，双方代表必须按规定的验收交接单上的项目对照本合同填好验收结果并签名盖章。</w:t>
      </w:r>
    </w:p>
    <w:p w14:paraId="7A069FC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质量保证</w:t>
      </w:r>
    </w:p>
    <w:p w14:paraId="4F8BD173">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b w:val="0"/>
          <w:bCs/>
          <w:color w:val="auto"/>
          <w:sz w:val="24"/>
          <w:szCs w:val="24"/>
          <w:highlight w:val="none"/>
          <w:lang w:val="en-US" w:eastAsia="zh-CN"/>
        </w:rPr>
        <w:t>8.1乙方</w:t>
      </w:r>
      <w:r>
        <w:rPr>
          <w:rFonts w:hint="eastAsia" w:ascii="仿宋" w:hAnsi="仿宋" w:eastAsia="仿宋" w:cs="仿宋"/>
          <w:color w:val="auto"/>
          <w:kern w:val="0"/>
          <w:sz w:val="24"/>
          <w:szCs w:val="24"/>
          <w:highlight w:val="none"/>
          <w:lang w:val="en-US" w:eastAsia="zh-CN" w:bidi="ar"/>
        </w:rPr>
        <w:t>保证按合同完成采购项目，并保证提供的货物是全新、符合采购文件规定，并终身负责维修。质量保证期内，除人为因素外，一切维修换件保养费用和备品备件均由乙方免费提供。</w:t>
      </w:r>
    </w:p>
    <w:p w14:paraId="600D4EDA">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8.2免费质保期：交付验收合格之日起：质保</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年，保修期后，仅收取配件成本费维修，免人工费用(自然灾害及人为故意损坏除外)。</w:t>
      </w:r>
    </w:p>
    <w:p w14:paraId="4B5B25AF">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8.3乙方提供现场维修，维修人员在收到故障报告后在</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小时内响应，保证</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小时内到达现场，</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小时内处理完毕；保证采购用在合同货物或项目(有配套软件的还包括软件产品)使用期间不受第三方提出侵犯其专利权、商标权和工业设计权的起诉；任何时候，乙方均不免除因货物本身的缺陷所应负的责任。</w:t>
      </w:r>
    </w:p>
    <w:p w14:paraId="38072EA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九、</w:t>
      </w:r>
      <w:r>
        <w:rPr>
          <w:rFonts w:hint="eastAsia" w:ascii="仿宋" w:hAnsi="仿宋" w:eastAsia="仿宋" w:cs="仿宋"/>
          <w:b w:val="0"/>
          <w:bCs/>
          <w:color w:val="auto"/>
          <w:sz w:val="24"/>
          <w:szCs w:val="24"/>
          <w:highlight w:val="none"/>
        </w:rPr>
        <w:t>知</w:t>
      </w:r>
      <w:r>
        <w:rPr>
          <w:rFonts w:hint="eastAsia" w:ascii="仿宋" w:hAnsi="仿宋" w:eastAsia="仿宋" w:cs="仿宋"/>
          <w:color w:val="auto"/>
          <w:sz w:val="24"/>
          <w:szCs w:val="24"/>
          <w:highlight w:val="none"/>
        </w:rPr>
        <w:t>识产权：</w:t>
      </w:r>
    </w:p>
    <w:p w14:paraId="1CF2701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14:paraId="129DD583">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十、保密条款 </w:t>
      </w:r>
    </w:p>
    <w:p w14:paraId="3F623477">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b w:val="0"/>
          <w:bCs w:val="0"/>
          <w:color w:val="auto"/>
          <w:sz w:val="24"/>
          <w:szCs w:val="24"/>
          <w:highlight w:val="none"/>
          <w:lang w:val="en-US" w:eastAsia="zh-CN"/>
        </w:rPr>
        <w:t>乙方对履行合同过程中所获悉的属于甲方的且无法自公开渠道获得的文件及资料，应负保密义务，未经甲方书面同意，不得擅自利用或对外发表或披露。保密期限自乙方接收或知悉甲方信息资料之日起至该信息资料公开之日或甲方书面解除乙方保密义务之日止。</w:t>
      </w:r>
    </w:p>
    <w:p w14:paraId="349B2A1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十一、</w:t>
      </w:r>
      <w:r>
        <w:rPr>
          <w:rFonts w:hint="eastAsia" w:ascii="仿宋" w:hAnsi="仿宋" w:eastAsia="仿宋" w:cs="仿宋"/>
          <w:color w:val="auto"/>
          <w:sz w:val="24"/>
          <w:szCs w:val="24"/>
          <w:highlight w:val="none"/>
        </w:rPr>
        <w:t>违约责任</w:t>
      </w:r>
    </w:p>
    <w:p w14:paraId="3B35FE0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.1如果乙方未能按合同</w:t>
      </w:r>
      <w:r>
        <w:rPr>
          <w:rFonts w:hint="eastAsia" w:ascii="仿宋" w:hAnsi="仿宋" w:eastAsia="仿宋" w:cs="仿宋"/>
          <w:color w:val="auto"/>
          <w:sz w:val="24"/>
          <w:szCs w:val="24"/>
          <w:highlight w:val="none"/>
          <w:lang w:val="en-US" w:eastAsia="zh-CN"/>
        </w:rPr>
        <w:t>约</w:t>
      </w:r>
      <w:r>
        <w:rPr>
          <w:rFonts w:hint="eastAsia" w:ascii="仿宋" w:hAnsi="仿宋" w:eastAsia="仿宋" w:cs="仿宋"/>
          <w:color w:val="auto"/>
          <w:sz w:val="24"/>
          <w:szCs w:val="24"/>
          <w:highlight w:val="none"/>
        </w:rPr>
        <w:t>定的</w:t>
      </w:r>
      <w:r>
        <w:rPr>
          <w:rFonts w:hint="eastAsia" w:ascii="仿宋" w:hAnsi="仿宋" w:eastAsia="仿宋" w:cs="仿宋"/>
          <w:color w:val="auto"/>
          <w:sz w:val="24"/>
          <w:szCs w:val="24"/>
          <w:highlight w:val="none"/>
          <w:lang w:val="en-US" w:eastAsia="zh-CN"/>
        </w:rPr>
        <w:t>30日内（自然日）交付</w:t>
      </w:r>
      <w:r>
        <w:rPr>
          <w:rFonts w:hint="eastAsia" w:ascii="仿宋" w:hAnsi="仿宋" w:eastAsia="仿宋" w:cs="仿宋"/>
          <w:color w:val="auto"/>
          <w:sz w:val="24"/>
          <w:szCs w:val="24"/>
          <w:highlight w:val="none"/>
          <w:lang w:eastAsia="zh-CN"/>
        </w:rPr>
        <w:t>货物</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因</w:t>
      </w:r>
      <w:r>
        <w:rPr>
          <w:rFonts w:hint="eastAsia" w:ascii="仿宋" w:hAnsi="仿宋" w:eastAsia="仿宋" w:cs="仿宋"/>
          <w:color w:val="auto"/>
          <w:sz w:val="24"/>
          <w:szCs w:val="24"/>
          <w:highlight w:val="none"/>
        </w:rPr>
        <w:t>不可抗力</w:t>
      </w:r>
      <w:r>
        <w:rPr>
          <w:rFonts w:hint="eastAsia" w:ascii="仿宋" w:hAnsi="仿宋" w:eastAsia="仿宋" w:cs="仿宋"/>
          <w:color w:val="auto"/>
          <w:sz w:val="24"/>
          <w:szCs w:val="24"/>
          <w:highlight w:val="none"/>
          <w:lang w:val="en-US" w:eastAsia="zh-CN"/>
        </w:rPr>
        <w:t>致使合同无法履行的除外）</w:t>
      </w:r>
      <w:r>
        <w:rPr>
          <w:rFonts w:hint="eastAsia" w:ascii="仿宋" w:hAnsi="仿宋" w:eastAsia="仿宋" w:cs="仿宋"/>
          <w:color w:val="auto"/>
          <w:sz w:val="24"/>
          <w:szCs w:val="24"/>
          <w:highlight w:val="none"/>
        </w:rPr>
        <w:t>，在乙方书面同意支付延期交货违约金的条件下，甲方有权选择同意延长交货期</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是不予延长交货期，甲方同意延长交货期的，延期交货的时间由双方</w:t>
      </w:r>
      <w:r>
        <w:rPr>
          <w:rFonts w:hint="eastAsia" w:ascii="仿宋" w:hAnsi="仿宋" w:eastAsia="仿宋" w:cs="仿宋"/>
          <w:color w:val="auto"/>
          <w:sz w:val="24"/>
          <w:szCs w:val="24"/>
          <w:highlight w:val="none"/>
          <w:lang w:val="en-US" w:eastAsia="zh-CN"/>
        </w:rPr>
        <w:t>另</w:t>
      </w:r>
      <w:r>
        <w:rPr>
          <w:rFonts w:hint="eastAsia" w:ascii="仿宋" w:hAnsi="仿宋" w:eastAsia="仿宋" w:cs="仿宋"/>
          <w:color w:val="auto"/>
          <w:sz w:val="24"/>
          <w:szCs w:val="24"/>
          <w:highlight w:val="none"/>
        </w:rPr>
        <w:t>行确定。延期交货违约金的支付甲方有权从未付的合同货款中扣除。延期交货违约金比率为每迟交</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天，按迟交货物金额的</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％。但是，延期交货违约金的支付总额不得超过迟交货物部分合同金额的</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rPr>
        <w:t>％。</w:t>
      </w:r>
    </w:p>
    <w:p w14:paraId="19DBA3E6">
      <w:pPr>
        <w:keepNext w:val="0"/>
        <w:keepLines w:val="0"/>
        <w:pageBreakBefore w:val="0"/>
        <w:kinsoku/>
        <w:wordWrap/>
        <w:overflowPunct/>
        <w:topLinePunct w:val="0"/>
        <w:autoSpaceDE/>
        <w:autoSpaceDN/>
        <w:bidi w:val="0"/>
        <w:adjustRightInd/>
        <w:snapToGrid w:val="0"/>
        <w:spacing w:line="560" w:lineRule="atLeast"/>
        <w:ind w:firstLine="456" w:firstLineChars="200"/>
        <w:textAlignment w:val="auto"/>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w:t>
      </w: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.2如果乙方未能按</w:t>
      </w:r>
      <w:r>
        <w:rPr>
          <w:rFonts w:hint="eastAsia" w:ascii="仿宋" w:hAnsi="仿宋" w:eastAsia="仿宋" w:cs="仿宋"/>
          <w:color w:val="auto"/>
          <w:spacing w:val="-6"/>
          <w:sz w:val="24"/>
          <w:szCs w:val="24"/>
          <w:highlight w:val="none"/>
          <w:lang w:eastAsia="zh-CN"/>
        </w:rPr>
        <w:t>合同约定</w:t>
      </w:r>
      <w:r>
        <w:rPr>
          <w:rFonts w:hint="eastAsia" w:ascii="仿宋" w:hAnsi="仿宋" w:eastAsia="仿宋" w:cs="仿宋"/>
          <w:color w:val="auto"/>
          <w:spacing w:val="-6"/>
          <w:sz w:val="24"/>
          <w:szCs w:val="24"/>
          <w:highlight w:val="none"/>
        </w:rPr>
        <w:t>的时间或双方另行确定的延期交货期按时足额交货的（不可抗力除外），每逾期1天，乙方应按迟交货物金额的</w:t>
      </w: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w:t>
      </w:r>
    </w:p>
    <w:p w14:paraId="69497C0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十二、</w:t>
      </w:r>
      <w:r>
        <w:rPr>
          <w:rFonts w:hint="eastAsia" w:ascii="仿宋" w:hAnsi="仿宋" w:eastAsia="仿宋" w:cs="仿宋"/>
          <w:color w:val="auto"/>
          <w:sz w:val="24"/>
          <w:szCs w:val="24"/>
          <w:highlight w:val="none"/>
        </w:rPr>
        <w:t>违约终止合同</w:t>
      </w:r>
    </w:p>
    <w:p w14:paraId="3AAF540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.1在补救违约而采取的任何其他措施未能实现的情况下，即在甲方发出的违约通知后</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天内（或经甲方书面确认的更长时间内）仍未纠正其下述任何一种违约行为，甲方有权向乙方发出书面违约通知，甲方终止本合同：</w:t>
      </w:r>
    </w:p>
    <w:p w14:paraId="56838E10">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.1.1如果乙方未能在</w:t>
      </w:r>
      <w:r>
        <w:rPr>
          <w:rFonts w:hint="eastAsia" w:ascii="仿宋" w:hAnsi="仿宋" w:eastAsia="仿宋" w:cs="仿宋"/>
          <w:color w:val="auto"/>
          <w:sz w:val="24"/>
          <w:szCs w:val="24"/>
          <w:highlight w:val="none"/>
          <w:lang w:eastAsia="zh-CN"/>
        </w:rPr>
        <w:t>合同约定</w:t>
      </w:r>
      <w:r>
        <w:rPr>
          <w:rFonts w:hint="eastAsia" w:ascii="仿宋" w:hAnsi="仿宋" w:eastAsia="仿宋" w:cs="仿宋"/>
          <w:color w:val="auto"/>
          <w:sz w:val="24"/>
          <w:szCs w:val="24"/>
          <w:highlight w:val="none"/>
        </w:rPr>
        <w:t>的期限内或双方另行确定的延期交货时间内交付合同约定的货物。</w:t>
      </w:r>
    </w:p>
    <w:p w14:paraId="54424790">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.1.2乙方未能履行合同项下的任何其它义务。</w:t>
      </w:r>
    </w:p>
    <w:p w14:paraId="533EFC5D">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十三、</w:t>
      </w:r>
      <w:r>
        <w:rPr>
          <w:rFonts w:hint="eastAsia" w:ascii="仿宋" w:hAnsi="仿宋" w:eastAsia="仿宋" w:cs="仿宋"/>
          <w:color w:val="auto"/>
          <w:sz w:val="24"/>
          <w:szCs w:val="24"/>
          <w:highlight w:val="none"/>
        </w:rPr>
        <w:t>不可抗力</w:t>
      </w:r>
    </w:p>
    <w:p w14:paraId="6E34B2BE">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本合同中的不可抗力指不能预见、不能避免并不能克服的客观情况。包括但不限于：自然灾害如地震、台风、洪水、火灾；政府行为、法律规定或其适用的变化或者其他任何无法预见、避免或者控制的事件。</w:t>
      </w:r>
    </w:p>
    <w:p w14:paraId="4940B691">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十四、</w:t>
      </w:r>
      <w:r>
        <w:rPr>
          <w:rFonts w:hint="eastAsia" w:ascii="仿宋" w:hAnsi="仿宋" w:eastAsia="仿宋" w:cs="仿宋"/>
          <w:color w:val="auto"/>
          <w:sz w:val="24"/>
          <w:szCs w:val="24"/>
          <w:highlight w:val="none"/>
        </w:rPr>
        <w:t>法律适用和争议解决：</w:t>
      </w:r>
    </w:p>
    <w:p w14:paraId="56D72CF2">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.1.本合同适用中华人民共和国法律；</w:t>
      </w:r>
    </w:p>
    <w:p w14:paraId="21E8E5C0">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.2.在本合同签订后，因订立、履行本合同所发生的争议或与本合同有关的一切争议，双方应友好协商解决，协商不成</w:t>
      </w:r>
      <w:r>
        <w:rPr>
          <w:rFonts w:hint="eastAsia" w:ascii="仿宋" w:hAnsi="仿宋" w:eastAsia="仿宋" w:cs="仿宋"/>
          <w:b w:val="0"/>
          <w:bCs w:val="0"/>
          <w:color w:val="auto"/>
          <w:sz w:val="24"/>
          <w:szCs w:val="24"/>
          <w:highlight w:val="none"/>
          <w:lang w:eastAsia="zh-CN"/>
        </w:rPr>
        <w:t>的</w:t>
      </w:r>
      <w:r>
        <w:rPr>
          <w:rFonts w:hint="eastAsia" w:ascii="仿宋" w:hAnsi="仿宋" w:eastAsia="仿宋" w:cs="仿宋"/>
          <w:b w:val="0"/>
          <w:bCs w:val="0"/>
          <w:color w:val="auto"/>
          <w:sz w:val="24"/>
          <w:szCs w:val="24"/>
          <w:highlight w:val="none"/>
        </w:rPr>
        <w:t>，任何一方均有权向甲方所在地有管辖权的人民法院（即</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泸水市</w:t>
      </w:r>
      <w:r>
        <w:rPr>
          <w:rFonts w:hint="eastAsia" w:ascii="仿宋" w:hAnsi="仿宋" w:eastAsia="仿宋" w:cs="仿宋"/>
          <w:b w:val="0"/>
          <w:bCs w:val="0"/>
          <w:color w:val="auto"/>
          <w:sz w:val="24"/>
          <w:szCs w:val="24"/>
          <w:highlight w:val="none"/>
        </w:rPr>
        <w:t>人民法院）提起诉讼</w:t>
      </w:r>
      <w:r>
        <w:rPr>
          <w:rFonts w:hint="eastAsia" w:ascii="仿宋" w:hAnsi="仿宋" w:eastAsia="仿宋" w:cs="仿宋"/>
          <w:b w:val="0"/>
          <w:bCs w:val="0"/>
          <w:color w:val="auto"/>
          <w:sz w:val="24"/>
          <w:szCs w:val="24"/>
          <w:highlight w:val="none"/>
          <w:lang w:eastAsia="zh-CN"/>
        </w:rPr>
        <w:t>。</w:t>
      </w:r>
    </w:p>
    <w:p w14:paraId="3221D539">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十五、</w:t>
      </w:r>
      <w:r>
        <w:rPr>
          <w:rFonts w:hint="eastAsia" w:ascii="仿宋" w:hAnsi="仿宋" w:eastAsia="仿宋" w:cs="仿宋"/>
          <w:b w:val="0"/>
          <w:bCs w:val="0"/>
          <w:color w:val="auto"/>
          <w:sz w:val="24"/>
          <w:szCs w:val="24"/>
          <w:highlight w:val="none"/>
        </w:rPr>
        <w:t>其他约定</w:t>
      </w:r>
    </w:p>
    <w:p w14:paraId="3C0F3C6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.1本采购项目的招标文件、</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rPr>
        <w:t>人的</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rPr>
        <w:t>文件以及相关的澄清确认函（如果有的话）均为本合同不可分割的一部分，与本合同具有同等法律效力。</w:t>
      </w:r>
    </w:p>
    <w:p w14:paraId="14E5E8A9">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.2本合同未尽事宜，双方另行</w:t>
      </w:r>
      <w:r>
        <w:rPr>
          <w:rFonts w:hint="eastAsia" w:ascii="仿宋" w:hAnsi="仿宋" w:eastAsia="仿宋" w:cs="仿宋"/>
          <w:color w:val="auto"/>
          <w:sz w:val="24"/>
          <w:szCs w:val="24"/>
          <w:highlight w:val="none"/>
          <w:lang w:val="en-US" w:eastAsia="zh-CN"/>
        </w:rPr>
        <w:t>协商，达成补充协议，补充协议与本合同具有同等法律效力</w:t>
      </w:r>
      <w:r>
        <w:rPr>
          <w:rFonts w:hint="eastAsia" w:ascii="仿宋" w:hAnsi="仿宋" w:eastAsia="仿宋" w:cs="仿宋"/>
          <w:color w:val="auto"/>
          <w:sz w:val="24"/>
          <w:szCs w:val="24"/>
          <w:highlight w:val="none"/>
        </w:rPr>
        <w:t>。</w:t>
      </w:r>
    </w:p>
    <w:p w14:paraId="6C84B167">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.3本合同一式五份，</w:t>
      </w:r>
      <w:r>
        <w:rPr>
          <w:rFonts w:hint="eastAsia" w:ascii="仿宋" w:hAnsi="仿宋" w:eastAsia="仿宋" w:cs="仿宋"/>
          <w:color w:val="auto"/>
          <w:sz w:val="24"/>
          <w:szCs w:val="24"/>
          <w:highlight w:val="none"/>
          <w:lang w:val="en-US" w:eastAsia="zh-CN"/>
        </w:rPr>
        <w:t>经双方</w:t>
      </w:r>
      <w:r>
        <w:rPr>
          <w:rFonts w:hint="eastAsia" w:ascii="仿宋" w:hAnsi="仿宋" w:eastAsia="仿宋" w:cs="仿宋"/>
          <w:color w:val="auto"/>
          <w:sz w:val="24"/>
          <w:szCs w:val="24"/>
          <w:highlight w:val="none"/>
        </w:rPr>
        <w:t>盖章</w:t>
      </w:r>
      <w:r>
        <w:rPr>
          <w:rFonts w:hint="eastAsia" w:ascii="仿宋" w:hAnsi="仿宋" w:eastAsia="仿宋" w:cs="仿宋"/>
          <w:color w:val="auto"/>
          <w:sz w:val="24"/>
          <w:szCs w:val="24"/>
          <w:highlight w:val="none"/>
          <w:lang w:val="en-US" w:eastAsia="zh-CN"/>
        </w:rPr>
        <w:t>并经双方法定代表人或授权代表签字</w:t>
      </w:r>
      <w:r>
        <w:rPr>
          <w:rFonts w:hint="eastAsia" w:ascii="仿宋" w:hAnsi="仿宋" w:eastAsia="仿宋" w:cs="仿宋"/>
          <w:color w:val="auto"/>
          <w:sz w:val="24"/>
          <w:szCs w:val="24"/>
          <w:highlight w:val="none"/>
        </w:rPr>
        <w:t>后生效，甲方、乙方各执两份，送政府采购办公室备案一份，</w:t>
      </w:r>
      <w:r>
        <w:rPr>
          <w:rFonts w:hint="eastAsia" w:ascii="仿宋" w:hAnsi="仿宋" w:eastAsia="仿宋" w:cs="仿宋"/>
          <w:color w:val="auto"/>
          <w:sz w:val="24"/>
          <w:szCs w:val="24"/>
          <w:highlight w:val="none"/>
          <w:lang w:val="en-US" w:eastAsia="zh-CN"/>
        </w:rPr>
        <w:t>每份均</w:t>
      </w:r>
      <w:r>
        <w:rPr>
          <w:rFonts w:hint="eastAsia" w:ascii="仿宋" w:hAnsi="仿宋" w:eastAsia="仿宋" w:cs="仿宋"/>
          <w:color w:val="auto"/>
          <w:sz w:val="24"/>
          <w:szCs w:val="24"/>
          <w:highlight w:val="none"/>
        </w:rPr>
        <w:t>具有同等效力</w:t>
      </w:r>
      <w:r>
        <w:rPr>
          <w:rFonts w:hint="eastAsia" w:ascii="仿宋" w:hAnsi="仿宋" w:eastAsia="仿宋" w:cs="仿宋"/>
          <w:color w:val="auto"/>
          <w:sz w:val="24"/>
          <w:szCs w:val="24"/>
          <w:highlight w:val="none"/>
          <w:lang w:eastAsia="zh-CN"/>
        </w:rPr>
        <w:t>。</w:t>
      </w:r>
    </w:p>
    <w:p w14:paraId="0556BC3C">
      <w:pPr>
        <w:pStyle w:val="2"/>
        <w:rPr>
          <w:rFonts w:hint="eastAsia" w:ascii="仿宋" w:hAnsi="仿宋" w:eastAsia="仿宋" w:cs="仿宋"/>
          <w:color w:val="auto"/>
          <w:highlight w:val="none"/>
          <w:lang w:eastAsia="zh-CN"/>
        </w:rPr>
      </w:pPr>
    </w:p>
    <w:tbl>
      <w:tblPr>
        <w:tblStyle w:val="33"/>
        <w:tblW w:w="9344" w:type="dxa"/>
        <w:tblInd w:w="-207" w:type="dxa"/>
        <w:tblLayout w:type="fixed"/>
        <w:tblCellMar>
          <w:top w:w="0" w:type="dxa"/>
          <w:left w:w="108" w:type="dxa"/>
          <w:bottom w:w="0" w:type="dxa"/>
          <w:right w:w="108" w:type="dxa"/>
        </w:tblCellMar>
      </w:tblPr>
      <w:tblGrid>
        <w:gridCol w:w="4326"/>
        <w:gridCol w:w="5018"/>
      </w:tblGrid>
      <w:tr w14:paraId="59BE9D71">
        <w:tblPrEx>
          <w:tblCellMar>
            <w:top w:w="0" w:type="dxa"/>
            <w:left w:w="108" w:type="dxa"/>
            <w:bottom w:w="0" w:type="dxa"/>
            <w:right w:w="108" w:type="dxa"/>
          </w:tblCellMar>
        </w:tblPrEx>
        <w:trPr>
          <w:trHeight w:val="454" w:hRule="atLeast"/>
        </w:trPr>
        <w:tc>
          <w:tcPr>
            <w:tcW w:w="4326" w:type="dxa"/>
            <w:noWrap w:val="0"/>
            <w:vAlign w:val="top"/>
          </w:tcPr>
          <w:p w14:paraId="5A3BA9B9">
            <w:pPr>
              <w:spacing w:line="560" w:lineRule="exac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br w:type="page"/>
            </w:r>
            <w:r>
              <w:rPr>
                <w:rFonts w:hint="eastAsia" w:ascii="仿宋" w:hAnsi="仿宋" w:eastAsia="仿宋" w:cs="仿宋"/>
                <w:b/>
                <w:bCs/>
                <w:color w:val="auto"/>
                <w:kern w:val="2"/>
                <w:sz w:val="24"/>
                <w:szCs w:val="24"/>
                <w:highlight w:val="none"/>
                <w:lang w:val="en-US" w:eastAsia="zh-CN"/>
              </w:rPr>
              <w:t xml:space="preserve">      </w:t>
            </w:r>
            <w:r>
              <w:rPr>
                <w:rFonts w:hint="eastAsia" w:ascii="仿宋" w:hAnsi="仿宋" w:eastAsia="仿宋" w:cs="仿宋"/>
                <w:b/>
                <w:bCs/>
                <w:color w:val="auto"/>
                <w:kern w:val="2"/>
                <w:sz w:val="24"/>
                <w:szCs w:val="24"/>
                <w:highlight w:val="none"/>
              </w:rPr>
              <w:t>甲方(采购人)名      称：</w:t>
            </w:r>
          </w:p>
        </w:tc>
        <w:tc>
          <w:tcPr>
            <w:tcW w:w="5018" w:type="dxa"/>
            <w:noWrap w:val="0"/>
            <w:vAlign w:val="top"/>
          </w:tcPr>
          <w:p w14:paraId="2D5DEB8D">
            <w:pPr>
              <w:pStyle w:val="2"/>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怒江傈僳族自治州中医医院</w:t>
            </w:r>
          </w:p>
        </w:tc>
      </w:tr>
      <w:tr w14:paraId="2AF4DA01">
        <w:tblPrEx>
          <w:tblCellMar>
            <w:top w:w="0" w:type="dxa"/>
            <w:left w:w="108" w:type="dxa"/>
            <w:bottom w:w="0" w:type="dxa"/>
            <w:right w:w="108" w:type="dxa"/>
          </w:tblCellMar>
        </w:tblPrEx>
        <w:trPr>
          <w:trHeight w:val="454" w:hRule="atLeast"/>
        </w:trPr>
        <w:tc>
          <w:tcPr>
            <w:tcW w:w="4326" w:type="dxa"/>
            <w:noWrap w:val="0"/>
            <w:vAlign w:val="top"/>
          </w:tcPr>
          <w:p w14:paraId="26E0195E">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地      址：</w:t>
            </w:r>
          </w:p>
        </w:tc>
        <w:tc>
          <w:tcPr>
            <w:tcW w:w="5018" w:type="dxa"/>
            <w:noWrap w:val="0"/>
            <w:vAlign w:val="top"/>
          </w:tcPr>
          <w:p w14:paraId="765C2975">
            <w:pPr>
              <w:pStyle w:val="2"/>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云南省怒江州泸水市大练地街道办怒江州中医医院</w:t>
            </w:r>
          </w:p>
        </w:tc>
      </w:tr>
      <w:tr w14:paraId="28ACB6DC">
        <w:tblPrEx>
          <w:tblCellMar>
            <w:top w:w="0" w:type="dxa"/>
            <w:left w:w="108" w:type="dxa"/>
            <w:bottom w:w="0" w:type="dxa"/>
            <w:right w:w="108" w:type="dxa"/>
          </w:tblCellMar>
        </w:tblPrEx>
        <w:trPr>
          <w:trHeight w:val="454" w:hRule="atLeast"/>
        </w:trPr>
        <w:tc>
          <w:tcPr>
            <w:tcW w:w="4326" w:type="dxa"/>
            <w:noWrap w:val="0"/>
            <w:vAlign w:val="top"/>
          </w:tcPr>
          <w:p w14:paraId="44E48C59">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邮      编：</w:t>
            </w:r>
          </w:p>
        </w:tc>
        <w:tc>
          <w:tcPr>
            <w:tcW w:w="5018" w:type="dxa"/>
            <w:noWrap w:val="0"/>
            <w:vAlign w:val="top"/>
          </w:tcPr>
          <w:p w14:paraId="7D3D600D">
            <w:pPr>
              <w:pStyle w:val="2"/>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673199</w:t>
            </w:r>
          </w:p>
        </w:tc>
      </w:tr>
      <w:tr w14:paraId="7E3F6AF4">
        <w:tblPrEx>
          <w:tblCellMar>
            <w:top w:w="0" w:type="dxa"/>
            <w:left w:w="108" w:type="dxa"/>
            <w:bottom w:w="0" w:type="dxa"/>
            <w:right w:w="108" w:type="dxa"/>
          </w:tblCellMar>
        </w:tblPrEx>
        <w:trPr>
          <w:trHeight w:val="415" w:hRule="atLeast"/>
        </w:trPr>
        <w:tc>
          <w:tcPr>
            <w:tcW w:w="4326" w:type="dxa"/>
            <w:noWrap w:val="0"/>
            <w:vAlign w:val="top"/>
          </w:tcPr>
          <w:p w14:paraId="64340B8A">
            <w:pPr>
              <w:autoSpaceDE w:val="0"/>
              <w:autoSpaceDN w:val="0"/>
              <w:adjustRightInd w:val="0"/>
              <w:spacing w:line="460" w:lineRule="exact"/>
              <w:jc w:val="right"/>
              <w:rPr>
                <w:rFonts w:hint="eastAsia" w:ascii="仿宋" w:hAnsi="仿宋" w:eastAsia="仿宋" w:cs="仿宋"/>
                <w:b/>
                <w:bCs/>
                <w:color w:val="auto"/>
                <w:kern w:val="2"/>
                <w:sz w:val="24"/>
                <w:szCs w:val="24"/>
                <w:highlight w:val="none"/>
                <w:lang w:eastAsia="zh-CN"/>
              </w:rPr>
            </w:pPr>
            <w:r>
              <w:rPr>
                <w:rFonts w:hint="eastAsia" w:ascii="仿宋" w:hAnsi="仿宋" w:eastAsia="仿宋" w:cs="仿宋"/>
                <w:b/>
                <w:bCs/>
                <w:color w:val="auto"/>
                <w:kern w:val="2"/>
                <w:sz w:val="24"/>
                <w:szCs w:val="24"/>
                <w:highlight w:val="none"/>
              </w:rPr>
              <w:t>法定代表人</w:t>
            </w:r>
            <w:r>
              <w:rPr>
                <w:rFonts w:hint="eastAsia" w:ascii="仿宋" w:hAnsi="仿宋" w:eastAsia="仿宋" w:cs="仿宋"/>
                <w:b/>
                <w:bCs/>
                <w:color w:val="auto"/>
                <w:kern w:val="2"/>
                <w:sz w:val="24"/>
                <w:szCs w:val="24"/>
                <w:highlight w:val="none"/>
                <w:lang w:val="en-US" w:eastAsia="zh-CN"/>
              </w:rPr>
              <w:t>或</w:t>
            </w:r>
          </w:p>
        </w:tc>
        <w:tc>
          <w:tcPr>
            <w:tcW w:w="5018" w:type="dxa"/>
            <w:noWrap w:val="0"/>
            <w:vAlign w:val="top"/>
          </w:tcPr>
          <w:p w14:paraId="77D8D6BB">
            <w:pPr>
              <w:spacing w:line="420" w:lineRule="exact"/>
              <w:rPr>
                <w:rFonts w:hint="eastAsia" w:ascii="仿宋" w:hAnsi="仿宋" w:eastAsia="仿宋" w:cs="仿宋"/>
                <w:b/>
                <w:bCs/>
                <w:color w:val="auto"/>
                <w:kern w:val="2"/>
                <w:sz w:val="24"/>
                <w:szCs w:val="24"/>
                <w:highlight w:val="none"/>
              </w:rPr>
            </w:pPr>
          </w:p>
        </w:tc>
      </w:tr>
      <w:tr w14:paraId="4CD7D246">
        <w:tblPrEx>
          <w:tblCellMar>
            <w:top w:w="0" w:type="dxa"/>
            <w:left w:w="108" w:type="dxa"/>
            <w:bottom w:w="0" w:type="dxa"/>
            <w:right w:w="108" w:type="dxa"/>
          </w:tblCellMar>
        </w:tblPrEx>
        <w:trPr>
          <w:trHeight w:val="454" w:hRule="atLeast"/>
        </w:trPr>
        <w:tc>
          <w:tcPr>
            <w:tcW w:w="4326" w:type="dxa"/>
            <w:noWrap w:val="0"/>
            <w:vAlign w:val="top"/>
          </w:tcPr>
          <w:p w14:paraId="6746031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委托代理人：</w:t>
            </w:r>
          </w:p>
        </w:tc>
        <w:tc>
          <w:tcPr>
            <w:tcW w:w="5018" w:type="dxa"/>
            <w:noWrap w:val="0"/>
            <w:vAlign w:val="top"/>
          </w:tcPr>
          <w:p w14:paraId="3F3EE983">
            <w:pPr>
              <w:spacing w:line="420" w:lineRule="exact"/>
              <w:rPr>
                <w:rFonts w:hint="eastAsia" w:ascii="仿宋" w:hAnsi="仿宋" w:eastAsia="仿宋" w:cs="仿宋"/>
                <w:b/>
                <w:bCs/>
                <w:color w:val="auto"/>
                <w:kern w:val="2"/>
                <w:sz w:val="24"/>
                <w:szCs w:val="24"/>
                <w:highlight w:val="none"/>
                <w:u w:val="single"/>
              </w:rPr>
            </w:pPr>
          </w:p>
        </w:tc>
      </w:tr>
      <w:tr w14:paraId="3D8C2003">
        <w:tblPrEx>
          <w:tblCellMar>
            <w:top w:w="0" w:type="dxa"/>
            <w:left w:w="108" w:type="dxa"/>
            <w:bottom w:w="0" w:type="dxa"/>
            <w:right w:w="108" w:type="dxa"/>
          </w:tblCellMar>
        </w:tblPrEx>
        <w:trPr>
          <w:trHeight w:val="454" w:hRule="atLeast"/>
        </w:trPr>
        <w:tc>
          <w:tcPr>
            <w:tcW w:w="4326" w:type="dxa"/>
            <w:noWrap w:val="0"/>
            <w:vAlign w:val="top"/>
          </w:tcPr>
          <w:p w14:paraId="5170D5FA">
            <w:pPr>
              <w:wordWrap w:val="0"/>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电      话：</w:t>
            </w:r>
          </w:p>
        </w:tc>
        <w:tc>
          <w:tcPr>
            <w:tcW w:w="5018" w:type="dxa"/>
            <w:noWrap w:val="0"/>
            <w:vAlign w:val="top"/>
          </w:tcPr>
          <w:p w14:paraId="241FCEB2">
            <w:pPr>
              <w:pStyle w:val="2"/>
              <w:rPr>
                <w:rFonts w:hint="eastAsia" w:ascii="仿宋" w:hAnsi="仿宋" w:eastAsia="仿宋" w:cs="仿宋"/>
                <w:b/>
                <w:bCs/>
                <w:color w:val="auto"/>
                <w:kern w:val="2"/>
                <w:sz w:val="24"/>
                <w:szCs w:val="24"/>
                <w:highlight w:val="none"/>
                <w:u w:val="single"/>
              </w:rPr>
            </w:pPr>
            <w:r>
              <w:rPr>
                <w:rFonts w:hint="eastAsia" w:ascii="仿宋" w:hAnsi="仿宋" w:eastAsia="仿宋" w:cs="仿宋"/>
                <w:b/>
                <w:bCs/>
                <w:color w:val="auto"/>
                <w:kern w:val="2"/>
                <w:sz w:val="24"/>
                <w:szCs w:val="24"/>
                <w:highlight w:val="none"/>
                <w:lang w:val="en-US" w:eastAsia="zh-CN"/>
              </w:rPr>
              <w:t>0886-3051880</w:t>
            </w:r>
          </w:p>
        </w:tc>
      </w:tr>
      <w:tr w14:paraId="06A4A4A6">
        <w:tblPrEx>
          <w:tblCellMar>
            <w:top w:w="0" w:type="dxa"/>
            <w:left w:w="108" w:type="dxa"/>
            <w:bottom w:w="0" w:type="dxa"/>
            <w:right w:w="108" w:type="dxa"/>
          </w:tblCellMar>
        </w:tblPrEx>
        <w:trPr>
          <w:trHeight w:val="454" w:hRule="atLeast"/>
        </w:trPr>
        <w:tc>
          <w:tcPr>
            <w:tcW w:w="4326" w:type="dxa"/>
            <w:noWrap w:val="0"/>
            <w:vAlign w:val="top"/>
          </w:tcPr>
          <w:p w14:paraId="10FB74AA">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 xml:space="preserve">        开 户 银行：</w:t>
            </w:r>
          </w:p>
        </w:tc>
        <w:tc>
          <w:tcPr>
            <w:tcW w:w="5018" w:type="dxa"/>
            <w:noWrap w:val="0"/>
            <w:vAlign w:val="top"/>
          </w:tcPr>
          <w:p w14:paraId="1B6C0715">
            <w:pPr>
              <w:spacing w:line="420" w:lineRule="exact"/>
              <w:jc w:val="left"/>
              <w:rPr>
                <w:rFonts w:hint="eastAsia" w:ascii="仿宋" w:hAnsi="仿宋" w:eastAsia="仿宋" w:cs="仿宋"/>
                <w:b/>
                <w:bCs/>
                <w:color w:val="auto"/>
                <w:kern w:val="2"/>
                <w:sz w:val="24"/>
                <w:szCs w:val="24"/>
                <w:highlight w:val="none"/>
                <w:u w:val="none"/>
                <w:lang w:val="en-US" w:eastAsia="zh-CN" w:bidi="ar-SA"/>
              </w:rPr>
            </w:pPr>
            <w:r>
              <w:rPr>
                <w:rFonts w:hint="eastAsia" w:ascii="仿宋" w:hAnsi="仿宋" w:eastAsia="仿宋" w:cs="仿宋"/>
                <w:b/>
                <w:bCs/>
                <w:color w:val="auto"/>
                <w:kern w:val="2"/>
                <w:sz w:val="24"/>
                <w:szCs w:val="24"/>
                <w:highlight w:val="none"/>
                <w:lang w:val="en-US" w:eastAsia="zh-CN"/>
              </w:rPr>
              <w:t>建行六库人民路支行</w:t>
            </w:r>
          </w:p>
        </w:tc>
      </w:tr>
      <w:tr w14:paraId="588D53AA">
        <w:tblPrEx>
          <w:tblCellMar>
            <w:top w:w="0" w:type="dxa"/>
            <w:left w:w="108" w:type="dxa"/>
            <w:bottom w:w="0" w:type="dxa"/>
            <w:right w:w="108" w:type="dxa"/>
          </w:tblCellMar>
        </w:tblPrEx>
        <w:trPr>
          <w:trHeight w:val="454" w:hRule="atLeast"/>
        </w:trPr>
        <w:tc>
          <w:tcPr>
            <w:tcW w:w="4326" w:type="dxa"/>
            <w:noWrap w:val="0"/>
            <w:vAlign w:val="top"/>
          </w:tcPr>
          <w:p w14:paraId="20F5C47A">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账      号：</w:t>
            </w:r>
          </w:p>
        </w:tc>
        <w:tc>
          <w:tcPr>
            <w:tcW w:w="5018" w:type="dxa"/>
            <w:noWrap w:val="0"/>
            <w:vAlign w:val="top"/>
          </w:tcPr>
          <w:p w14:paraId="5D1B27D6">
            <w:pPr>
              <w:autoSpaceDE w:val="0"/>
              <w:autoSpaceDN w:val="0"/>
              <w:adjustRightInd w:val="0"/>
              <w:spacing w:line="460" w:lineRule="exact"/>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rPr>
              <w:t>53001756136050524166</w:t>
            </w:r>
          </w:p>
        </w:tc>
      </w:tr>
      <w:tr w14:paraId="48FCA3E5">
        <w:tblPrEx>
          <w:tblCellMar>
            <w:top w:w="0" w:type="dxa"/>
            <w:left w:w="108" w:type="dxa"/>
            <w:bottom w:w="0" w:type="dxa"/>
            <w:right w:w="108" w:type="dxa"/>
          </w:tblCellMar>
        </w:tblPrEx>
        <w:trPr>
          <w:trHeight w:val="454" w:hRule="atLeast"/>
        </w:trPr>
        <w:tc>
          <w:tcPr>
            <w:tcW w:w="4326" w:type="dxa"/>
            <w:noWrap w:val="0"/>
            <w:vAlign w:val="top"/>
          </w:tcPr>
          <w:p w14:paraId="67086515">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乙方(供应商)名      称：</w:t>
            </w:r>
          </w:p>
        </w:tc>
        <w:tc>
          <w:tcPr>
            <w:tcW w:w="5018" w:type="dxa"/>
            <w:noWrap w:val="0"/>
            <w:vAlign w:val="top"/>
          </w:tcPr>
          <w:p w14:paraId="79914FBD">
            <w:pPr>
              <w:spacing w:line="420" w:lineRule="exact"/>
              <w:rPr>
                <w:rFonts w:hint="eastAsia" w:ascii="仿宋" w:hAnsi="仿宋" w:eastAsia="仿宋" w:cs="仿宋"/>
                <w:b/>
                <w:bCs/>
                <w:color w:val="auto"/>
                <w:kern w:val="2"/>
                <w:sz w:val="24"/>
                <w:szCs w:val="24"/>
                <w:highlight w:val="none"/>
                <w:lang w:val="en-US" w:eastAsia="zh-CN"/>
              </w:rPr>
            </w:pPr>
          </w:p>
        </w:tc>
      </w:tr>
      <w:tr w14:paraId="38B8A3DB">
        <w:tblPrEx>
          <w:tblCellMar>
            <w:top w:w="0" w:type="dxa"/>
            <w:left w:w="108" w:type="dxa"/>
            <w:bottom w:w="0" w:type="dxa"/>
            <w:right w:w="108" w:type="dxa"/>
          </w:tblCellMar>
        </w:tblPrEx>
        <w:trPr>
          <w:trHeight w:val="454" w:hRule="atLeast"/>
        </w:trPr>
        <w:tc>
          <w:tcPr>
            <w:tcW w:w="4326" w:type="dxa"/>
            <w:noWrap w:val="0"/>
            <w:vAlign w:val="top"/>
          </w:tcPr>
          <w:p w14:paraId="1AD339A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地      址：</w:t>
            </w:r>
          </w:p>
        </w:tc>
        <w:tc>
          <w:tcPr>
            <w:tcW w:w="5018" w:type="dxa"/>
            <w:noWrap w:val="0"/>
            <w:vAlign w:val="top"/>
          </w:tcPr>
          <w:p w14:paraId="758B1668">
            <w:pPr>
              <w:keepNext w:val="0"/>
              <w:keepLines w:val="0"/>
              <w:widowControl/>
              <w:suppressLineNumbers w:val="0"/>
              <w:jc w:val="left"/>
              <w:rPr>
                <w:rFonts w:hint="eastAsia" w:ascii="仿宋" w:hAnsi="仿宋" w:eastAsia="仿宋" w:cs="仿宋"/>
                <w:b/>
                <w:bCs/>
                <w:color w:val="auto"/>
                <w:kern w:val="2"/>
                <w:sz w:val="24"/>
                <w:szCs w:val="24"/>
                <w:highlight w:val="none"/>
              </w:rPr>
            </w:pPr>
          </w:p>
        </w:tc>
      </w:tr>
      <w:tr w14:paraId="3E44FF77">
        <w:tblPrEx>
          <w:tblCellMar>
            <w:top w:w="0" w:type="dxa"/>
            <w:left w:w="108" w:type="dxa"/>
            <w:bottom w:w="0" w:type="dxa"/>
            <w:right w:w="108" w:type="dxa"/>
          </w:tblCellMar>
        </w:tblPrEx>
        <w:trPr>
          <w:trHeight w:val="454" w:hRule="atLeast"/>
        </w:trPr>
        <w:tc>
          <w:tcPr>
            <w:tcW w:w="4326" w:type="dxa"/>
            <w:noWrap w:val="0"/>
            <w:vAlign w:val="top"/>
          </w:tcPr>
          <w:p w14:paraId="2D3BD3FA">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邮      编：</w:t>
            </w:r>
          </w:p>
        </w:tc>
        <w:tc>
          <w:tcPr>
            <w:tcW w:w="5018" w:type="dxa"/>
            <w:noWrap w:val="0"/>
            <w:vAlign w:val="top"/>
          </w:tcPr>
          <w:p w14:paraId="4CE8085E">
            <w:pPr>
              <w:keepNext w:val="0"/>
              <w:keepLines w:val="0"/>
              <w:widowControl/>
              <w:suppressLineNumbers w:val="0"/>
              <w:pBdr>
                <w:top w:val="none" w:color="auto" w:sz="0" w:space="0"/>
                <w:left w:val="none" w:color="auto" w:sz="0" w:space="0"/>
              </w:pBdr>
              <w:wordWrap w:val="0"/>
              <w:jc w:val="left"/>
              <w:rPr>
                <w:rFonts w:hint="eastAsia" w:ascii="仿宋" w:hAnsi="仿宋" w:eastAsia="仿宋" w:cs="仿宋"/>
                <w:b/>
                <w:bCs/>
                <w:color w:val="auto"/>
                <w:kern w:val="2"/>
                <w:sz w:val="24"/>
                <w:szCs w:val="24"/>
                <w:highlight w:val="none"/>
                <w:lang w:val="en-US" w:eastAsia="zh-CN"/>
              </w:rPr>
            </w:pPr>
          </w:p>
        </w:tc>
      </w:tr>
      <w:tr w14:paraId="604CBD74">
        <w:tblPrEx>
          <w:tblCellMar>
            <w:top w:w="0" w:type="dxa"/>
            <w:left w:w="108" w:type="dxa"/>
            <w:bottom w:w="0" w:type="dxa"/>
            <w:right w:w="108" w:type="dxa"/>
          </w:tblCellMar>
        </w:tblPrEx>
        <w:trPr>
          <w:trHeight w:val="454" w:hRule="atLeast"/>
        </w:trPr>
        <w:tc>
          <w:tcPr>
            <w:tcW w:w="4326" w:type="dxa"/>
            <w:noWrap w:val="0"/>
            <w:vAlign w:val="top"/>
          </w:tcPr>
          <w:p w14:paraId="4FD6F657">
            <w:pPr>
              <w:autoSpaceDE w:val="0"/>
              <w:autoSpaceDN w:val="0"/>
              <w:adjustRightInd w:val="0"/>
              <w:spacing w:line="460" w:lineRule="exact"/>
              <w:jc w:val="right"/>
              <w:rPr>
                <w:rFonts w:hint="eastAsia" w:ascii="仿宋" w:hAnsi="仿宋" w:eastAsia="仿宋" w:cs="仿宋"/>
                <w:b/>
                <w:bCs/>
                <w:color w:val="auto"/>
                <w:kern w:val="2"/>
                <w:sz w:val="24"/>
                <w:szCs w:val="24"/>
                <w:highlight w:val="none"/>
                <w:lang w:eastAsia="zh-CN"/>
              </w:rPr>
            </w:pPr>
            <w:r>
              <w:rPr>
                <w:rFonts w:hint="eastAsia" w:ascii="仿宋" w:hAnsi="仿宋" w:eastAsia="仿宋" w:cs="仿宋"/>
                <w:b/>
                <w:bCs/>
                <w:color w:val="auto"/>
                <w:kern w:val="2"/>
                <w:sz w:val="24"/>
                <w:szCs w:val="24"/>
                <w:highlight w:val="none"/>
              </w:rPr>
              <w:t>法定代表人</w:t>
            </w:r>
            <w:r>
              <w:rPr>
                <w:rFonts w:hint="eastAsia" w:ascii="仿宋" w:hAnsi="仿宋" w:eastAsia="仿宋" w:cs="仿宋"/>
                <w:b/>
                <w:bCs/>
                <w:color w:val="auto"/>
                <w:kern w:val="2"/>
                <w:sz w:val="24"/>
                <w:szCs w:val="24"/>
                <w:highlight w:val="none"/>
                <w:lang w:val="en-US" w:eastAsia="zh-CN"/>
              </w:rPr>
              <w:t>或</w:t>
            </w:r>
          </w:p>
        </w:tc>
        <w:tc>
          <w:tcPr>
            <w:tcW w:w="5018" w:type="dxa"/>
            <w:noWrap w:val="0"/>
            <w:vAlign w:val="top"/>
          </w:tcPr>
          <w:p w14:paraId="3AC2A256">
            <w:pPr>
              <w:spacing w:line="420" w:lineRule="exact"/>
              <w:rPr>
                <w:rFonts w:hint="eastAsia" w:ascii="仿宋" w:hAnsi="仿宋" w:eastAsia="仿宋" w:cs="仿宋"/>
                <w:b/>
                <w:bCs/>
                <w:color w:val="auto"/>
                <w:kern w:val="2"/>
                <w:sz w:val="24"/>
                <w:szCs w:val="24"/>
                <w:highlight w:val="none"/>
                <w:lang w:val="en-US" w:eastAsia="zh-CN"/>
              </w:rPr>
            </w:pPr>
          </w:p>
        </w:tc>
      </w:tr>
      <w:tr w14:paraId="3EC34CB6">
        <w:tblPrEx>
          <w:tblCellMar>
            <w:top w:w="0" w:type="dxa"/>
            <w:left w:w="108" w:type="dxa"/>
            <w:bottom w:w="0" w:type="dxa"/>
            <w:right w:w="108" w:type="dxa"/>
          </w:tblCellMar>
        </w:tblPrEx>
        <w:trPr>
          <w:trHeight w:val="454" w:hRule="atLeast"/>
        </w:trPr>
        <w:tc>
          <w:tcPr>
            <w:tcW w:w="4326" w:type="dxa"/>
            <w:noWrap w:val="0"/>
            <w:vAlign w:val="top"/>
          </w:tcPr>
          <w:p w14:paraId="5E57188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委托代理人：</w:t>
            </w:r>
          </w:p>
        </w:tc>
        <w:tc>
          <w:tcPr>
            <w:tcW w:w="5018" w:type="dxa"/>
            <w:noWrap w:val="0"/>
            <w:vAlign w:val="top"/>
          </w:tcPr>
          <w:p w14:paraId="6F89FDD4">
            <w:pPr>
              <w:spacing w:line="420" w:lineRule="exact"/>
              <w:rPr>
                <w:rFonts w:hint="eastAsia" w:ascii="仿宋" w:hAnsi="仿宋" w:eastAsia="仿宋" w:cs="仿宋"/>
                <w:b/>
                <w:bCs/>
                <w:color w:val="auto"/>
                <w:kern w:val="2"/>
                <w:sz w:val="24"/>
                <w:szCs w:val="24"/>
                <w:highlight w:val="none"/>
                <w:lang w:val="en-US" w:eastAsia="zh-CN"/>
              </w:rPr>
            </w:pPr>
          </w:p>
        </w:tc>
      </w:tr>
      <w:tr w14:paraId="4D5488E2">
        <w:tblPrEx>
          <w:tblCellMar>
            <w:top w:w="0" w:type="dxa"/>
            <w:left w:w="108" w:type="dxa"/>
            <w:bottom w:w="0" w:type="dxa"/>
            <w:right w:w="108" w:type="dxa"/>
          </w:tblCellMar>
        </w:tblPrEx>
        <w:trPr>
          <w:trHeight w:val="454" w:hRule="atLeast"/>
        </w:trPr>
        <w:tc>
          <w:tcPr>
            <w:tcW w:w="4326" w:type="dxa"/>
            <w:noWrap w:val="0"/>
            <w:vAlign w:val="top"/>
          </w:tcPr>
          <w:p w14:paraId="33EA804C">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电      话：</w:t>
            </w:r>
          </w:p>
        </w:tc>
        <w:tc>
          <w:tcPr>
            <w:tcW w:w="5018" w:type="dxa"/>
            <w:noWrap w:val="0"/>
            <w:vAlign w:val="top"/>
          </w:tcPr>
          <w:p w14:paraId="06490557">
            <w:pPr>
              <w:spacing w:line="420" w:lineRule="exact"/>
              <w:rPr>
                <w:rFonts w:hint="eastAsia" w:ascii="仿宋" w:hAnsi="仿宋" w:eastAsia="仿宋" w:cs="仿宋"/>
                <w:b/>
                <w:bCs/>
                <w:color w:val="auto"/>
                <w:kern w:val="2"/>
                <w:sz w:val="24"/>
                <w:szCs w:val="24"/>
                <w:highlight w:val="none"/>
                <w:lang w:val="en-US" w:eastAsia="zh-CN"/>
              </w:rPr>
            </w:pPr>
          </w:p>
        </w:tc>
      </w:tr>
      <w:tr w14:paraId="6EA88AB4">
        <w:tblPrEx>
          <w:tblCellMar>
            <w:top w:w="0" w:type="dxa"/>
            <w:left w:w="108" w:type="dxa"/>
            <w:bottom w:w="0" w:type="dxa"/>
            <w:right w:w="108" w:type="dxa"/>
          </w:tblCellMar>
        </w:tblPrEx>
        <w:trPr>
          <w:trHeight w:val="454" w:hRule="atLeast"/>
        </w:trPr>
        <w:tc>
          <w:tcPr>
            <w:tcW w:w="4326" w:type="dxa"/>
            <w:noWrap w:val="0"/>
            <w:vAlign w:val="top"/>
          </w:tcPr>
          <w:p w14:paraId="4DB8FFE2">
            <w:pPr>
              <w:spacing w:line="420" w:lineRule="exac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ab/>
            </w:r>
            <w:r>
              <w:rPr>
                <w:rFonts w:hint="eastAsia" w:ascii="仿宋" w:hAnsi="仿宋" w:eastAsia="仿宋" w:cs="仿宋"/>
                <w:b/>
                <w:bCs/>
                <w:color w:val="auto"/>
                <w:kern w:val="2"/>
                <w:sz w:val="24"/>
                <w:szCs w:val="24"/>
                <w:highlight w:val="none"/>
              </w:rPr>
              <w:t xml:space="preserve">                 开 户 银 行：</w:t>
            </w:r>
          </w:p>
        </w:tc>
        <w:tc>
          <w:tcPr>
            <w:tcW w:w="5018" w:type="dxa"/>
            <w:noWrap w:val="0"/>
            <w:vAlign w:val="top"/>
          </w:tcPr>
          <w:p w14:paraId="6B7E414F">
            <w:pPr>
              <w:spacing w:line="420" w:lineRule="exact"/>
              <w:rPr>
                <w:rFonts w:hint="eastAsia" w:ascii="仿宋" w:hAnsi="仿宋" w:eastAsia="仿宋" w:cs="仿宋"/>
                <w:b/>
                <w:bCs/>
                <w:color w:val="auto"/>
                <w:kern w:val="2"/>
                <w:sz w:val="24"/>
                <w:szCs w:val="24"/>
                <w:highlight w:val="none"/>
                <w:lang w:val="en-US" w:eastAsia="zh-CN"/>
              </w:rPr>
            </w:pPr>
          </w:p>
        </w:tc>
      </w:tr>
      <w:tr w14:paraId="6B0B659A">
        <w:tblPrEx>
          <w:tblCellMar>
            <w:top w:w="0" w:type="dxa"/>
            <w:left w:w="108" w:type="dxa"/>
            <w:bottom w:w="0" w:type="dxa"/>
            <w:right w:w="108" w:type="dxa"/>
          </w:tblCellMar>
        </w:tblPrEx>
        <w:trPr>
          <w:trHeight w:val="454" w:hRule="atLeast"/>
        </w:trPr>
        <w:tc>
          <w:tcPr>
            <w:tcW w:w="4326" w:type="dxa"/>
            <w:noWrap w:val="0"/>
            <w:vAlign w:val="top"/>
          </w:tcPr>
          <w:p w14:paraId="76A9B9E2">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账      号：</w:t>
            </w:r>
          </w:p>
        </w:tc>
        <w:tc>
          <w:tcPr>
            <w:tcW w:w="5018" w:type="dxa"/>
            <w:noWrap w:val="0"/>
            <w:vAlign w:val="top"/>
          </w:tcPr>
          <w:p w14:paraId="437C72C1">
            <w:pPr>
              <w:spacing w:line="420" w:lineRule="exact"/>
              <w:rPr>
                <w:rFonts w:hint="eastAsia" w:ascii="仿宋" w:hAnsi="仿宋" w:eastAsia="仿宋" w:cs="仿宋"/>
                <w:b/>
                <w:bCs/>
                <w:color w:val="auto"/>
                <w:kern w:val="2"/>
                <w:sz w:val="24"/>
                <w:szCs w:val="24"/>
                <w:highlight w:val="none"/>
                <w:lang w:val="en-US" w:eastAsia="zh-CN"/>
              </w:rPr>
            </w:pPr>
          </w:p>
        </w:tc>
      </w:tr>
      <w:tr w14:paraId="4E722A49">
        <w:tblPrEx>
          <w:tblCellMar>
            <w:top w:w="0" w:type="dxa"/>
            <w:left w:w="108" w:type="dxa"/>
            <w:bottom w:w="0" w:type="dxa"/>
            <w:right w:w="108" w:type="dxa"/>
          </w:tblCellMar>
        </w:tblPrEx>
        <w:trPr>
          <w:trHeight w:val="454" w:hRule="atLeast"/>
        </w:trPr>
        <w:tc>
          <w:tcPr>
            <w:tcW w:w="4326" w:type="dxa"/>
            <w:noWrap w:val="0"/>
            <w:vAlign w:val="top"/>
          </w:tcPr>
          <w:p w14:paraId="20084261">
            <w:pPr>
              <w:spacing w:line="420" w:lineRule="exact"/>
              <w:rPr>
                <w:rFonts w:hint="eastAsia" w:ascii="仿宋" w:hAnsi="仿宋" w:eastAsia="仿宋" w:cs="仿宋"/>
                <w:b/>
                <w:bCs/>
                <w:color w:val="auto"/>
                <w:kern w:val="2"/>
                <w:sz w:val="24"/>
                <w:szCs w:val="24"/>
                <w:highlight w:val="none"/>
              </w:rPr>
            </w:pPr>
          </w:p>
        </w:tc>
        <w:tc>
          <w:tcPr>
            <w:tcW w:w="5018" w:type="dxa"/>
            <w:noWrap w:val="0"/>
            <w:vAlign w:val="top"/>
          </w:tcPr>
          <w:p w14:paraId="6D85AC51">
            <w:pPr>
              <w:spacing w:line="420" w:lineRule="exact"/>
              <w:rPr>
                <w:rFonts w:hint="eastAsia" w:ascii="仿宋" w:hAnsi="仿宋" w:eastAsia="仿宋" w:cs="仿宋"/>
                <w:b/>
                <w:bCs/>
                <w:color w:val="auto"/>
                <w:kern w:val="2"/>
                <w:sz w:val="24"/>
                <w:szCs w:val="24"/>
                <w:highlight w:val="none"/>
              </w:rPr>
            </w:pPr>
          </w:p>
        </w:tc>
      </w:tr>
      <w:tr w14:paraId="22D78881">
        <w:tblPrEx>
          <w:tblCellMar>
            <w:top w:w="0" w:type="dxa"/>
            <w:left w:w="108" w:type="dxa"/>
            <w:bottom w:w="0" w:type="dxa"/>
            <w:right w:w="108" w:type="dxa"/>
          </w:tblCellMar>
        </w:tblPrEx>
        <w:trPr>
          <w:trHeight w:val="454" w:hRule="atLeast"/>
        </w:trPr>
        <w:tc>
          <w:tcPr>
            <w:tcW w:w="4326" w:type="dxa"/>
            <w:noWrap w:val="0"/>
            <w:vAlign w:val="top"/>
          </w:tcPr>
          <w:p w14:paraId="083190E5">
            <w:pPr>
              <w:spacing w:line="420" w:lineRule="exact"/>
              <w:rPr>
                <w:rFonts w:hint="eastAsia" w:ascii="仿宋" w:hAnsi="仿宋" w:eastAsia="仿宋" w:cs="仿宋"/>
                <w:b/>
                <w:bCs/>
                <w:color w:val="auto"/>
                <w:kern w:val="2"/>
                <w:sz w:val="24"/>
                <w:szCs w:val="24"/>
                <w:highlight w:val="none"/>
              </w:rPr>
            </w:pPr>
          </w:p>
        </w:tc>
        <w:tc>
          <w:tcPr>
            <w:tcW w:w="5018" w:type="dxa"/>
            <w:noWrap w:val="0"/>
            <w:vAlign w:val="top"/>
          </w:tcPr>
          <w:p w14:paraId="24B65CF9">
            <w:pPr>
              <w:spacing w:line="420" w:lineRule="exact"/>
              <w:rPr>
                <w:rFonts w:hint="eastAsia" w:ascii="仿宋" w:hAnsi="仿宋" w:eastAsia="仿宋" w:cs="仿宋"/>
                <w:b/>
                <w:bCs/>
                <w:color w:val="auto"/>
                <w:kern w:val="2"/>
                <w:sz w:val="24"/>
                <w:szCs w:val="24"/>
                <w:highlight w:val="none"/>
              </w:rPr>
            </w:pPr>
          </w:p>
        </w:tc>
      </w:tr>
    </w:tbl>
    <w:p w14:paraId="7B44810E">
      <w:pPr>
        <w:jc w:val="both"/>
        <w:rPr>
          <w:rFonts w:hint="eastAsia" w:ascii="仿宋" w:hAnsi="仿宋" w:eastAsia="仿宋" w:cs="仿宋"/>
          <w:b/>
          <w:bCs w:val="0"/>
          <w:color w:val="auto"/>
          <w:sz w:val="44"/>
          <w:szCs w:val="44"/>
          <w:highlight w:val="none"/>
          <w:lang w:val="en-US" w:eastAsia="zh-CN"/>
        </w:rPr>
      </w:pPr>
    </w:p>
    <w:p w14:paraId="51816514">
      <w:pPr>
        <w:pStyle w:val="2"/>
        <w:ind w:left="0" w:leftChars="0" w:firstLine="0" w:firstLineChars="0"/>
        <w:rPr>
          <w:rFonts w:hint="eastAsia" w:ascii="仿宋" w:hAnsi="仿宋" w:eastAsia="仿宋" w:cs="仿宋"/>
          <w:color w:val="auto"/>
          <w:highlight w:val="none"/>
          <w:lang w:val="en-US" w:eastAsia="zh-CN"/>
        </w:rPr>
      </w:pPr>
    </w:p>
    <w:p w14:paraId="472F6857">
      <w:pPr>
        <w:rPr>
          <w:rFonts w:hint="eastAsia" w:ascii="仿宋" w:hAnsi="仿宋" w:eastAsia="仿宋" w:cs="仿宋"/>
          <w:b/>
          <w:bCs/>
          <w:color w:val="auto"/>
          <w:kern w:val="0"/>
          <w:sz w:val="44"/>
          <w:szCs w:val="44"/>
          <w:highlight w:val="none"/>
          <w:lang w:eastAsia="zh-CN"/>
        </w:rPr>
      </w:pPr>
      <w:r>
        <w:rPr>
          <w:rFonts w:hint="eastAsia" w:ascii="仿宋" w:hAnsi="仿宋" w:eastAsia="仿宋" w:cs="仿宋"/>
          <w:b/>
          <w:bCs/>
          <w:color w:val="auto"/>
          <w:kern w:val="0"/>
          <w:sz w:val="44"/>
          <w:szCs w:val="44"/>
          <w:highlight w:val="none"/>
          <w:lang w:eastAsia="zh-CN"/>
        </w:rPr>
        <w:br w:type="page"/>
      </w:r>
    </w:p>
    <w:p w14:paraId="06AD6881">
      <w:pPr>
        <w:jc w:val="center"/>
        <w:rPr>
          <w:rFonts w:hint="eastAsia" w:ascii="仿宋" w:hAnsi="仿宋" w:eastAsia="仿宋" w:cs="仿宋"/>
          <w:b/>
          <w:bCs w:val="0"/>
          <w:color w:val="auto"/>
          <w:sz w:val="44"/>
          <w:szCs w:val="44"/>
          <w:highlight w:val="none"/>
          <w:lang w:eastAsia="zh-CN"/>
        </w:rPr>
      </w:pPr>
      <w:r>
        <w:rPr>
          <w:rFonts w:hint="eastAsia" w:ascii="仿宋" w:hAnsi="仿宋" w:eastAsia="仿宋" w:cs="仿宋"/>
          <w:b/>
          <w:bCs w:val="0"/>
          <w:color w:val="auto"/>
          <w:sz w:val="44"/>
          <w:szCs w:val="44"/>
          <w:highlight w:val="none"/>
          <w:lang w:eastAsia="zh-CN"/>
        </w:rPr>
        <w:t xml:space="preserve">怒江州中医医院心肺康复设备采购项目 </w:t>
      </w:r>
    </w:p>
    <w:p w14:paraId="7A89CC7E">
      <w:pPr>
        <w:jc w:val="center"/>
        <w:rPr>
          <w:rFonts w:hint="eastAsia" w:ascii="仿宋" w:hAnsi="仿宋" w:eastAsia="仿宋" w:cs="仿宋"/>
          <w:b/>
          <w:bCs w:val="0"/>
          <w:color w:val="auto"/>
          <w:sz w:val="44"/>
          <w:szCs w:val="44"/>
          <w:highlight w:val="none"/>
        </w:rPr>
      </w:pPr>
      <w:r>
        <w:rPr>
          <w:rFonts w:hint="eastAsia" w:ascii="仿宋" w:hAnsi="仿宋" w:eastAsia="仿宋" w:cs="仿宋"/>
          <w:b/>
          <w:bCs w:val="0"/>
          <w:color w:val="auto"/>
          <w:sz w:val="44"/>
          <w:szCs w:val="44"/>
          <w:highlight w:val="none"/>
        </w:rPr>
        <w:t>廉政协议书</w:t>
      </w:r>
    </w:p>
    <w:p w14:paraId="3F88B10D">
      <w:pPr>
        <w:pStyle w:val="32"/>
        <w:rPr>
          <w:rFonts w:hint="eastAsia" w:ascii="仿宋" w:hAnsi="仿宋" w:eastAsia="仿宋" w:cs="仿宋"/>
          <w:color w:val="auto"/>
          <w:sz w:val="28"/>
          <w:szCs w:val="28"/>
          <w:highlight w:val="none"/>
        </w:rPr>
      </w:pPr>
    </w:p>
    <w:p w14:paraId="2E7D636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采购方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：怒江</w:t>
      </w:r>
      <w:r>
        <w:rPr>
          <w:rFonts w:hint="eastAsia" w:ascii="仿宋" w:hAnsi="仿宋" w:eastAsia="仿宋" w:cs="仿宋"/>
          <w:color w:val="auto"/>
          <w:sz w:val="28"/>
          <w:szCs w:val="28"/>
          <w:highlight w:val="none"/>
          <w:lang w:eastAsia="zh-CN"/>
        </w:rPr>
        <w:t>傈僳族自治</w:t>
      </w:r>
      <w:r>
        <w:rPr>
          <w:rFonts w:hint="eastAsia" w:ascii="仿宋" w:hAnsi="仿宋" w:eastAsia="仿宋" w:cs="仿宋"/>
          <w:color w:val="auto"/>
          <w:sz w:val="28"/>
          <w:szCs w:val="28"/>
          <w:highlight w:val="none"/>
        </w:rPr>
        <w:t>州</w:t>
      </w:r>
      <w:r>
        <w:rPr>
          <w:rFonts w:hint="eastAsia" w:ascii="仿宋" w:hAnsi="仿宋" w:eastAsia="仿宋" w:cs="仿宋"/>
          <w:color w:val="auto"/>
          <w:sz w:val="28"/>
          <w:szCs w:val="28"/>
          <w:highlight w:val="none"/>
          <w:lang w:eastAsia="zh-CN"/>
        </w:rPr>
        <w:t>中医医院</w:t>
      </w:r>
    </w:p>
    <w:p w14:paraId="76147CC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住所：云南省怒江州泸水市大练地街道办怒江州中医医院</w:t>
      </w:r>
    </w:p>
    <w:p w14:paraId="4183C0FF">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乙方（供货方）：</w:t>
      </w:r>
      <w:r>
        <w:rPr>
          <w:rFonts w:hint="eastAsia" w:ascii="仿宋" w:hAnsi="仿宋" w:eastAsia="仿宋" w:cs="仿宋"/>
          <w:color w:val="auto"/>
          <w:sz w:val="28"/>
          <w:szCs w:val="28"/>
          <w:highlight w:val="none"/>
          <w:lang w:val="en-US" w:eastAsia="zh-CN"/>
        </w:rPr>
        <w:t xml:space="preserve"> </w:t>
      </w:r>
    </w:p>
    <w:p w14:paraId="0A667CF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住所： </w:t>
      </w:r>
    </w:p>
    <w:p w14:paraId="409DE223">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b/>
          <w:color w:val="auto"/>
          <w:kern w:val="2"/>
          <w:sz w:val="28"/>
          <w:szCs w:val="28"/>
          <w:highlight w:val="none"/>
          <w:lang w:val="en-US" w:eastAsia="zh-CN" w:bidi="ar-SA"/>
        </w:rPr>
        <w:t xml:space="preserve"> </w:t>
      </w:r>
      <w:r>
        <w:rPr>
          <w:rFonts w:hint="eastAsia" w:ascii="仿宋" w:hAnsi="仿宋" w:eastAsia="仿宋" w:cs="仿宋"/>
          <w:b/>
          <w:color w:val="auto"/>
          <w:kern w:val="2"/>
          <w:sz w:val="24"/>
          <w:szCs w:val="24"/>
          <w:highlight w:val="none"/>
          <w:lang w:val="en-US" w:eastAsia="zh-CN" w:bidi="ar-SA"/>
        </w:rPr>
        <w:t xml:space="preserve">   </w:t>
      </w:r>
      <w:r>
        <w:rPr>
          <w:rFonts w:hint="eastAsia" w:ascii="仿宋" w:hAnsi="仿宋" w:eastAsia="仿宋" w:cs="仿宋"/>
          <w:color w:val="auto"/>
          <w:sz w:val="24"/>
          <w:szCs w:val="24"/>
          <w:highlight w:val="none"/>
        </w:rPr>
        <w:t>为加强廉政风险防控建设，保证正常医疗秩序，营造风清气正的环境，纠正医疗行业不正之风，杜绝商业贿赂行为，确保甲乙双方在药品、卫材、器械设备、行政后勤物资采购，基本建设及提供其他服务过程中（以下简称购销活动）廉洁自律、秉公行事，特签订本廉政协议书谨供双方共同遵守。</w:t>
      </w:r>
    </w:p>
    <w:p w14:paraId="449D7F8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一、甲乙双方在购销活动中，严格遵守《中华人民共和国</w:t>
      </w:r>
      <w:r>
        <w:rPr>
          <w:rFonts w:hint="eastAsia" w:ascii="仿宋" w:hAnsi="仿宋" w:eastAsia="仿宋" w:cs="仿宋"/>
          <w:color w:val="auto"/>
          <w:sz w:val="24"/>
          <w:szCs w:val="24"/>
          <w:highlight w:val="none"/>
          <w:lang w:val="en-US" w:eastAsia="zh-CN"/>
        </w:rPr>
        <w:t>民法典</w:t>
      </w:r>
      <w:r>
        <w:rPr>
          <w:rFonts w:hint="eastAsia" w:ascii="仿宋" w:hAnsi="仿宋" w:eastAsia="仿宋" w:cs="仿宋"/>
          <w:color w:val="auto"/>
          <w:sz w:val="24"/>
          <w:szCs w:val="24"/>
          <w:highlight w:val="none"/>
        </w:rPr>
        <w:t>》、《中华人民共和国反不正当竞争法》、《中华人民共和国政府采购法》、《中华人民共和国执业医师法》、《中华人民共和国药品管理法》、《中国共产党党员领导干部廉洁从政若干准则》等有关法律法规</w:t>
      </w:r>
      <w:r>
        <w:rPr>
          <w:rFonts w:hint="eastAsia" w:ascii="仿宋" w:hAnsi="仿宋" w:eastAsia="仿宋" w:cs="仿宋"/>
          <w:color w:val="auto"/>
          <w:sz w:val="24"/>
          <w:szCs w:val="24"/>
          <w:highlight w:val="none"/>
          <w:lang w:val="en-US" w:eastAsia="zh-CN"/>
        </w:rPr>
        <w:t>及政策</w:t>
      </w:r>
      <w:r>
        <w:rPr>
          <w:rFonts w:hint="eastAsia" w:ascii="仿宋" w:hAnsi="仿宋" w:eastAsia="仿宋" w:cs="仿宋"/>
          <w:color w:val="auto"/>
          <w:sz w:val="24"/>
          <w:szCs w:val="24"/>
          <w:highlight w:val="none"/>
        </w:rPr>
        <w:t>。</w:t>
      </w:r>
    </w:p>
    <w:p w14:paraId="4CAEF95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甲方工作人员在药品、医用耗材、医疗设备器械、行政后勤物资采购、基本建设或其他服务采购等工作中不得向乙方索要或接受乙方现金、有价证券、贵重物品、支付凭证、回扣提成等，不得参加乙方提供的免费旅游或高档娱乐消费活动。</w:t>
      </w:r>
    </w:p>
    <w:p w14:paraId="2F69AC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三、甲方药品器械管理人员、物资设备采购人员和医务人员要严格遵守采购、信息安全等制度，不得私自采购药品器械、卫材及物资设备，不得进行违规统方。</w:t>
      </w:r>
    </w:p>
    <w:p w14:paraId="0FF2D2E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乙方人员在购销过程中不得向甲方有关人员赠送钱物、礼品、提成、回扣等贿赂行为或其他变相贿赂活动。甲方对每月使用量在前十位的药品进行定期统计监控，如发现有临床促销、提成、回扣、统方等行为，甲方有权停止采购、使用该产品，因此造成的一切后果由乙方负责。</w:t>
      </w:r>
    </w:p>
    <w:p w14:paraId="72C8C7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甲乙双方严格遵守购销合同，乙方提供证照齐全、质量合格、疗效确切、安全可靠的产品（药品、卫生材料、高值耗材、试剂、医疗器械设备）并做好售后服务工作；甲方严格执行质量验收入库制度，不得刁难乙方或无故拖延支付货款。</w:t>
      </w:r>
    </w:p>
    <w:p w14:paraId="716C648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六、甲方对药品、医用耗材、医疗器械设备、行政后勤物资等按</w:t>
      </w:r>
      <w:r>
        <w:rPr>
          <w:rFonts w:hint="eastAsia" w:ascii="仿宋" w:hAnsi="仿宋" w:eastAsia="仿宋" w:cs="仿宋"/>
          <w:color w:val="auto"/>
          <w:sz w:val="24"/>
          <w:szCs w:val="24"/>
          <w:highlight w:val="none"/>
          <w:lang w:val="en-US" w:eastAsia="zh-CN"/>
        </w:rPr>
        <w:t>现行有效的相关法律法规及政策的</w:t>
      </w:r>
      <w:r>
        <w:rPr>
          <w:rFonts w:hint="eastAsia" w:ascii="仿宋" w:hAnsi="仿宋" w:eastAsia="仿宋" w:cs="仿宋"/>
          <w:color w:val="auto"/>
          <w:sz w:val="24"/>
          <w:szCs w:val="24"/>
          <w:highlight w:val="none"/>
        </w:rPr>
        <w:t>规定要求进行采购，坚持公平、公正、公开的原则，接受社会监督。</w:t>
      </w:r>
    </w:p>
    <w:p w14:paraId="02075F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七、甲方对符合规定要求的基本建设项目、后勤服务社会化项目依法依规进行公开招标采购，坚持公平、公正、公开的原则，接受社会监督。</w:t>
      </w:r>
    </w:p>
    <w:p w14:paraId="46D1FB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八、</w:t>
      </w:r>
      <w:r>
        <w:rPr>
          <w:rFonts w:hint="eastAsia" w:ascii="仿宋" w:hAnsi="仿宋" w:eastAsia="仿宋" w:cs="仿宋"/>
          <w:color w:val="auto"/>
          <w:sz w:val="24"/>
          <w:szCs w:val="24"/>
          <w:highlight w:val="none"/>
          <w:lang w:val="en-US" w:eastAsia="zh-CN"/>
        </w:rPr>
        <w:t>乙方应严格遵守</w:t>
      </w:r>
      <w:r>
        <w:rPr>
          <w:rStyle w:val="36"/>
          <w:rFonts w:hint="eastAsia" w:ascii="仿宋" w:hAnsi="仿宋" w:eastAsia="仿宋" w:cs="仿宋"/>
          <w:b w:val="0"/>
          <w:color w:val="auto"/>
          <w:sz w:val="24"/>
          <w:szCs w:val="24"/>
          <w:highlight w:val="none"/>
        </w:rPr>
        <w:t>卫生部《关于建立医药购销领域商业贿赂不良记录的规定》，如乙方</w:t>
      </w:r>
      <w:r>
        <w:rPr>
          <w:rFonts w:hint="eastAsia" w:ascii="仿宋" w:hAnsi="仿宋" w:eastAsia="仿宋" w:cs="仿宋"/>
          <w:color w:val="auto"/>
          <w:sz w:val="24"/>
          <w:szCs w:val="24"/>
          <w:highlight w:val="none"/>
        </w:rPr>
        <w:t>被列入当地商业贿赂不良记录或纪检部门已作相关要求，甲乙双方停止立即购销合作关系，两年内不再合作。</w:t>
      </w:r>
    </w:p>
    <w:p w14:paraId="33A424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九、上述条款查证以甲方所在地纪检部门反馈意见或甲方纪检和行政部门查实情况为准。</w:t>
      </w:r>
    </w:p>
    <w:p w14:paraId="21ADB45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sz w:val="24"/>
          <w:szCs w:val="24"/>
          <w:highlight w:val="none"/>
        </w:rPr>
        <w:t>十、本协议书</w:t>
      </w:r>
      <w:r>
        <w:rPr>
          <w:rFonts w:hint="eastAsia" w:ascii="仿宋" w:hAnsi="仿宋" w:eastAsia="仿宋" w:cs="仿宋"/>
          <w:color w:val="auto"/>
          <w:sz w:val="24"/>
          <w:szCs w:val="24"/>
          <w:highlight w:val="none"/>
          <w:lang w:val="en-US" w:eastAsia="zh-CN"/>
        </w:rPr>
        <w:t>壹</w:t>
      </w:r>
      <w:r>
        <w:rPr>
          <w:rFonts w:hint="eastAsia" w:ascii="仿宋" w:hAnsi="仿宋" w:eastAsia="仿宋" w:cs="仿宋"/>
          <w:color w:val="auto"/>
          <w:sz w:val="24"/>
          <w:szCs w:val="24"/>
          <w:highlight w:val="none"/>
        </w:rPr>
        <w:t>式</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lang w:val="en-US" w:eastAsia="zh-CN"/>
        </w:rPr>
        <w:t>执三</w:t>
      </w:r>
      <w:r>
        <w:rPr>
          <w:rFonts w:hint="eastAsia" w:ascii="仿宋" w:hAnsi="仿宋" w:eastAsia="仿宋" w:cs="仿宋"/>
          <w:color w:val="auto"/>
          <w:sz w:val="24"/>
          <w:szCs w:val="24"/>
          <w:highlight w:val="none"/>
        </w:rPr>
        <w:t>份，乙方</w:t>
      </w:r>
      <w:r>
        <w:rPr>
          <w:rFonts w:hint="eastAsia" w:ascii="仿宋" w:hAnsi="仿宋" w:eastAsia="仿宋" w:cs="仿宋"/>
          <w:color w:val="auto"/>
          <w:sz w:val="24"/>
          <w:szCs w:val="24"/>
          <w:highlight w:val="none"/>
          <w:lang w:val="en-US" w:eastAsia="zh-CN"/>
        </w:rPr>
        <w:t>执壹</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代理机构壹</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每份均具有同等法律效力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在签订购销合同时签订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自双方签字之日起生效。</w:t>
      </w:r>
    </w:p>
    <w:p w14:paraId="2A4655E9">
      <w:pPr>
        <w:pStyle w:val="32"/>
        <w:ind w:left="0" w:leftChars="0" w:firstLine="0" w:firstLineChars="0"/>
        <w:rPr>
          <w:rFonts w:hint="eastAsia" w:ascii="仿宋" w:hAnsi="仿宋" w:eastAsia="仿宋" w:cs="仿宋"/>
          <w:color w:val="auto"/>
          <w:highlight w:val="none"/>
        </w:rPr>
      </w:pPr>
    </w:p>
    <w:p w14:paraId="562AAF60">
      <w:pPr>
        <w:pStyle w:val="32"/>
        <w:rPr>
          <w:rFonts w:hint="eastAsia" w:ascii="仿宋" w:hAnsi="仿宋" w:eastAsia="仿宋" w:cs="仿宋"/>
          <w:color w:val="auto"/>
          <w:highlight w:val="none"/>
        </w:rPr>
      </w:pPr>
    </w:p>
    <w:p w14:paraId="61F84D5C">
      <w:pPr>
        <w:pStyle w:val="32"/>
        <w:rPr>
          <w:rFonts w:hint="eastAsia" w:ascii="仿宋" w:hAnsi="仿宋" w:eastAsia="仿宋" w:cs="仿宋"/>
          <w:color w:val="auto"/>
          <w:highlight w:val="none"/>
        </w:rPr>
      </w:pPr>
    </w:p>
    <w:p w14:paraId="3EDBDAEC">
      <w:pPr>
        <w:pStyle w:val="32"/>
        <w:rPr>
          <w:rFonts w:hint="eastAsia" w:ascii="仿宋" w:hAnsi="仿宋" w:eastAsia="仿宋" w:cs="仿宋"/>
          <w:color w:val="auto"/>
          <w:highlight w:val="none"/>
        </w:rPr>
      </w:pPr>
    </w:p>
    <w:p w14:paraId="231BF32F">
      <w:pPr>
        <w:pStyle w:val="32"/>
        <w:rPr>
          <w:rFonts w:hint="eastAsia" w:ascii="仿宋" w:hAnsi="仿宋" w:eastAsia="仿宋" w:cs="仿宋"/>
          <w:color w:val="auto"/>
          <w:highlight w:val="none"/>
        </w:rPr>
      </w:pPr>
    </w:p>
    <w:p w14:paraId="3FDA9A80">
      <w:pPr>
        <w:pStyle w:val="32"/>
        <w:rPr>
          <w:rFonts w:hint="eastAsia" w:ascii="仿宋" w:hAnsi="仿宋" w:eastAsia="仿宋" w:cs="仿宋"/>
          <w:color w:val="auto"/>
          <w:highlight w:val="none"/>
        </w:rPr>
      </w:pPr>
    </w:p>
    <w:p w14:paraId="38136CC9">
      <w:pPr>
        <w:pStyle w:val="32"/>
        <w:rPr>
          <w:rFonts w:hint="eastAsia" w:ascii="仿宋" w:hAnsi="仿宋" w:eastAsia="仿宋" w:cs="仿宋"/>
          <w:color w:val="auto"/>
          <w:highlight w:val="none"/>
        </w:rPr>
      </w:pPr>
    </w:p>
    <w:p w14:paraId="71CF3D8E">
      <w:pPr>
        <w:keepNext w:val="0"/>
        <w:keepLines w:val="0"/>
        <w:pageBreakBefore w:val="0"/>
        <w:widowControl w:val="0"/>
        <w:tabs>
          <w:tab w:val="center" w:pos="4153"/>
          <w:tab w:val="left" w:pos="5400"/>
        </w:tabs>
        <w:kinsoku/>
        <w:wordWrap/>
        <w:overflowPunct/>
        <w:topLinePunct w:val="0"/>
        <w:autoSpaceDE/>
        <w:autoSpaceDN/>
        <w:bidi w:val="0"/>
        <w:snapToGrid/>
        <w:spacing w:line="360" w:lineRule="auto"/>
        <w:jc w:val="left"/>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甲</w:t>
      </w:r>
      <w:r>
        <w:rPr>
          <w:rFonts w:hint="eastAsia" w:ascii="仿宋" w:hAnsi="仿宋" w:eastAsia="仿宋" w:cs="仿宋"/>
          <w:color w:val="auto"/>
          <w:sz w:val="28"/>
          <w:szCs w:val="28"/>
          <w:highlight w:val="none"/>
          <w:lang w:val="en-US" w:eastAsia="zh-CN"/>
        </w:rPr>
        <w:t>方</w:t>
      </w:r>
      <w:r>
        <w:rPr>
          <w:rFonts w:hint="eastAsia" w:ascii="仿宋" w:hAnsi="仿宋" w:eastAsia="仿宋" w:cs="仿宋"/>
          <w:color w:val="auto"/>
          <w:sz w:val="28"/>
          <w:szCs w:val="28"/>
          <w:highlight w:val="none"/>
        </w:rPr>
        <w:t>（盖章）</w:t>
      </w:r>
      <w:r>
        <w:rPr>
          <w:rFonts w:hint="eastAsia" w:ascii="仿宋" w:hAnsi="仿宋" w:eastAsia="仿宋" w:cs="仿宋"/>
          <w:color w:val="auto"/>
          <w:sz w:val="28"/>
          <w:szCs w:val="28"/>
          <w:highlight w:val="none"/>
          <w:lang w:val="en-US" w:eastAsia="zh-CN"/>
        </w:rPr>
        <w:t xml:space="preserve">：                      乙方（盖章）：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法定代表人或代理人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法定代表人或代理人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w:t>
      </w:r>
    </w:p>
    <w:p w14:paraId="51BBACA1">
      <w:pPr>
        <w:spacing w:line="560" w:lineRule="exact"/>
        <w:ind w:firstLine="560" w:firstLineChars="200"/>
        <w:rPr>
          <w:rFonts w:cs="宋体"/>
          <w:b/>
          <w:bCs/>
          <w:color w:val="auto"/>
          <w:sz w:val="40"/>
          <w:szCs w:val="40"/>
          <w:highlight w:val="none"/>
        </w:rPr>
      </w:pPr>
      <w:r>
        <w:rPr>
          <w:rFonts w:hint="eastAsia" w:ascii="仿宋" w:hAnsi="仿宋" w:eastAsia="仿宋" w:cs="仿宋"/>
          <w:color w:val="auto"/>
          <w:sz w:val="28"/>
          <w:szCs w:val="28"/>
          <w:highlight w:val="none"/>
        </w:rPr>
        <w:t>日期：   年  月  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日期：   年 </w:t>
      </w:r>
      <w:r>
        <w:rPr>
          <w:rFonts w:hint="eastAsia" w:ascii="仿宋" w:hAnsi="仿宋" w:eastAsia="仿宋" w:cs="仿宋"/>
          <w:color w:val="auto"/>
          <w:sz w:val="28"/>
          <w:szCs w:val="28"/>
          <w:highlight w:val="none"/>
          <w:lang w:val="en-US" w:eastAsia="zh-CN"/>
        </w:rPr>
        <w:t xml:space="preserve">  月</w:t>
      </w:r>
    </w:p>
    <w:p w14:paraId="408116DC">
      <w:pPr>
        <w:widowControl/>
        <w:snapToGrid w:val="0"/>
        <w:spacing w:line="384" w:lineRule="auto"/>
        <w:jc w:val="left"/>
        <w:rPr>
          <w:rFonts w:hint="eastAsia" w:ascii="宋体" w:hAnsi="宋体"/>
          <w:b/>
          <w:bCs/>
          <w:color w:val="auto"/>
          <w:kern w:val="44"/>
          <w:sz w:val="36"/>
          <w:szCs w:val="36"/>
          <w:highlight w:val="none"/>
        </w:rPr>
      </w:pPr>
      <w:r>
        <w:rPr>
          <w:rFonts w:ascii="宋体" w:hAnsi="宋体"/>
          <w:bCs/>
          <w:color w:val="auto"/>
          <w:sz w:val="36"/>
          <w:szCs w:val="36"/>
          <w:highlight w:val="none"/>
        </w:rPr>
        <w:br w:type="page"/>
      </w:r>
    </w:p>
    <w:p w14:paraId="3356C14D">
      <w:pPr>
        <w:pStyle w:val="4"/>
        <w:jc w:val="center"/>
        <w:rPr>
          <w:rFonts w:hint="eastAsia" w:ascii="宋体" w:hAnsi="宋体" w:eastAsia="宋体"/>
          <w:bCs/>
          <w:color w:val="auto"/>
          <w:sz w:val="36"/>
          <w:szCs w:val="36"/>
          <w:highlight w:val="none"/>
        </w:rPr>
      </w:pPr>
      <w:r>
        <w:rPr>
          <w:rFonts w:hint="eastAsia" w:ascii="宋体" w:hAnsi="宋体" w:eastAsia="宋体"/>
          <w:bCs/>
          <w:color w:val="auto"/>
          <w:sz w:val="36"/>
          <w:szCs w:val="36"/>
          <w:highlight w:val="none"/>
        </w:rPr>
        <w:t>第四章  投标文件格式</w:t>
      </w:r>
      <w:bookmarkEnd w:id="73"/>
    </w:p>
    <w:p w14:paraId="22427679">
      <w:pPr>
        <w:pStyle w:val="5"/>
        <w:rPr>
          <w:color w:val="auto"/>
          <w:highlight w:val="none"/>
        </w:rPr>
      </w:pPr>
      <w:bookmarkStart w:id="76" w:name="_Toc6468"/>
      <w:bookmarkStart w:id="77" w:name="_Toc141099651"/>
      <w:bookmarkStart w:id="78" w:name="_Toc101004092"/>
      <w:r>
        <w:rPr>
          <w:rFonts w:hint="eastAsia"/>
          <w:color w:val="auto"/>
          <w:highlight w:val="none"/>
        </w:rPr>
        <w:t>一、开标一览表</w:t>
      </w:r>
      <w:bookmarkEnd w:id="76"/>
      <w:bookmarkEnd w:id="77"/>
      <w:bookmarkEnd w:id="78"/>
      <w:bookmarkStart w:id="79" w:name="_Toc13665001"/>
      <w:bookmarkStart w:id="80" w:name="_Toc213141093"/>
    </w:p>
    <w:p w14:paraId="6D7BCBA4">
      <w:pPr>
        <w:pStyle w:val="19"/>
        <w:rPr>
          <w:rFonts w:hint="eastAsia" w:eastAsia="宋体"/>
          <w:color w:val="auto"/>
          <w:highlight w:val="none"/>
          <w:lang w:eastAsia="zh-CN"/>
        </w:rPr>
      </w:pPr>
      <w:r>
        <w:rPr>
          <w:rFonts w:hint="eastAsia"/>
          <w:color w:val="auto"/>
          <w:highlight w:val="none"/>
        </w:rPr>
        <w:t>项目名称：</w:t>
      </w:r>
      <w:r>
        <w:rPr>
          <w:rFonts w:hint="eastAsia"/>
          <w:color w:val="auto"/>
          <w:highlight w:val="none"/>
          <w:lang w:eastAsia="zh-CN"/>
        </w:rPr>
        <w:t>怒江州中医医院心肺康复设备采购项目</w:t>
      </w:r>
    </w:p>
    <w:p w14:paraId="201995B6">
      <w:pPr>
        <w:pStyle w:val="19"/>
        <w:rPr>
          <w:rFonts w:hint="eastAsia" w:eastAsia="宋体"/>
          <w:color w:val="auto"/>
          <w:highlight w:val="none"/>
          <w:lang w:eastAsia="zh-CN"/>
        </w:rPr>
      </w:pPr>
      <w:r>
        <w:rPr>
          <w:rFonts w:hint="eastAsia"/>
          <w:color w:val="auto"/>
          <w:highlight w:val="none"/>
        </w:rPr>
        <w:t>项目编号：</w:t>
      </w:r>
      <w:r>
        <w:rPr>
          <w:rFonts w:hint="eastAsia"/>
          <w:color w:val="auto"/>
          <w:highlight w:val="none"/>
          <w:lang w:eastAsia="zh-CN"/>
        </w:rPr>
        <w:t>NJZC2025-G1-00360-YZGF-1037</w:t>
      </w:r>
    </w:p>
    <w:bookmarkEnd w:id="79"/>
    <w:bookmarkEnd w:id="80"/>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2"/>
        <w:gridCol w:w="1887"/>
        <w:gridCol w:w="1598"/>
        <w:gridCol w:w="2222"/>
        <w:gridCol w:w="1111"/>
      </w:tblGrid>
      <w:tr w14:paraId="6327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60" w:hRule="atLeast"/>
          <w:jc w:val="center"/>
        </w:trPr>
        <w:tc>
          <w:tcPr>
            <w:tcW w:w="1438" w:type="pct"/>
            <w:vAlign w:val="center"/>
          </w:tcPr>
          <w:p w14:paraId="6AC7CF14">
            <w:pPr>
              <w:jc w:val="center"/>
              <w:rPr>
                <w:color w:val="auto"/>
                <w:sz w:val="24"/>
                <w:highlight w:val="none"/>
              </w:rPr>
            </w:pPr>
            <w:r>
              <w:rPr>
                <w:rFonts w:hint="eastAsia"/>
                <w:color w:val="auto"/>
                <w:sz w:val="24"/>
                <w:highlight w:val="none"/>
              </w:rPr>
              <w:t>投标总报价（元）</w:t>
            </w:r>
          </w:p>
        </w:tc>
        <w:tc>
          <w:tcPr>
            <w:tcW w:w="986" w:type="pct"/>
            <w:vAlign w:val="center"/>
          </w:tcPr>
          <w:p w14:paraId="0E602B47">
            <w:pPr>
              <w:jc w:val="center"/>
              <w:rPr>
                <w:color w:val="auto"/>
                <w:sz w:val="24"/>
                <w:highlight w:val="none"/>
              </w:rPr>
            </w:pPr>
            <w:r>
              <w:rPr>
                <w:rFonts w:hint="eastAsia"/>
                <w:color w:val="auto"/>
                <w:sz w:val="24"/>
                <w:highlight w:val="none"/>
              </w:rPr>
              <w:t>交货期</w:t>
            </w:r>
          </w:p>
        </w:tc>
        <w:tc>
          <w:tcPr>
            <w:tcW w:w="835" w:type="pct"/>
            <w:vAlign w:val="center"/>
          </w:tcPr>
          <w:p w14:paraId="1A6903C2">
            <w:pPr>
              <w:jc w:val="center"/>
              <w:rPr>
                <w:color w:val="auto"/>
                <w:sz w:val="24"/>
                <w:highlight w:val="none"/>
              </w:rPr>
            </w:pPr>
            <w:r>
              <w:rPr>
                <w:rFonts w:hint="eastAsia"/>
                <w:color w:val="auto"/>
                <w:sz w:val="24"/>
                <w:highlight w:val="none"/>
              </w:rPr>
              <w:t>交货地点</w:t>
            </w:r>
          </w:p>
        </w:tc>
        <w:tc>
          <w:tcPr>
            <w:tcW w:w="1161" w:type="pct"/>
            <w:vAlign w:val="center"/>
          </w:tcPr>
          <w:p w14:paraId="49C1EF76">
            <w:pPr>
              <w:jc w:val="center"/>
              <w:rPr>
                <w:color w:val="auto"/>
                <w:sz w:val="24"/>
                <w:highlight w:val="none"/>
              </w:rPr>
            </w:pPr>
            <w:r>
              <w:rPr>
                <w:rFonts w:hint="eastAsia"/>
                <w:color w:val="auto"/>
                <w:sz w:val="24"/>
                <w:highlight w:val="none"/>
              </w:rPr>
              <w:t>投标保证金形式</w:t>
            </w:r>
          </w:p>
        </w:tc>
        <w:tc>
          <w:tcPr>
            <w:tcW w:w="580" w:type="pct"/>
            <w:vAlign w:val="center"/>
          </w:tcPr>
          <w:p w14:paraId="300C4E5F">
            <w:pPr>
              <w:jc w:val="center"/>
              <w:rPr>
                <w:color w:val="auto"/>
                <w:sz w:val="24"/>
                <w:highlight w:val="none"/>
              </w:rPr>
            </w:pPr>
            <w:r>
              <w:rPr>
                <w:rFonts w:hint="eastAsia"/>
                <w:color w:val="auto"/>
                <w:sz w:val="24"/>
                <w:highlight w:val="none"/>
              </w:rPr>
              <w:t>备注</w:t>
            </w:r>
          </w:p>
        </w:tc>
      </w:tr>
      <w:tr w14:paraId="4872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0" w:hRule="atLeast"/>
          <w:jc w:val="center"/>
        </w:trPr>
        <w:tc>
          <w:tcPr>
            <w:tcW w:w="1438" w:type="pct"/>
            <w:vAlign w:val="center"/>
          </w:tcPr>
          <w:p w14:paraId="77528E72">
            <w:pPr>
              <w:pStyle w:val="19"/>
              <w:rPr>
                <w:rFonts w:hint="eastAsia"/>
                <w:color w:val="auto"/>
                <w:highlight w:val="none"/>
              </w:rPr>
            </w:pPr>
          </w:p>
        </w:tc>
        <w:tc>
          <w:tcPr>
            <w:tcW w:w="986" w:type="pct"/>
            <w:vAlign w:val="center"/>
          </w:tcPr>
          <w:p w14:paraId="352FAA0B">
            <w:pPr>
              <w:pStyle w:val="19"/>
              <w:rPr>
                <w:rFonts w:hint="eastAsia"/>
                <w:color w:val="auto"/>
                <w:highlight w:val="none"/>
              </w:rPr>
            </w:pPr>
          </w:p>
        </w:tc>
        <w:tc>
          <w:tcPr>
            <w:tcW w:w="835" w:type="pct"/>
            <w:vAlign w:val="center"/>
          </w:tcPr>
          <w:p w14:paraId="009B40F1">
            <w:pPr>
              <w:pStyle w:val="19"/>
              <w:rPr>
                <w:rFonts w:hint="eastAsia"/>
                <w:color w:val="auto"/>
                <w:highlight w:val="none"/>
              </w:rPr>
            </w:pPr>
          </w:p>
        </w:tc>
        <w:tc>
          <w:tcPr>
            <w:tcW w:w="1161" w:type="pct"/>
            <w:vAlign w:val="center"/>
          </w:tcPr>
          <w:p w14:paraId="5F1701F7">
            <w:pPr>
              <w:pStyle w:val="19"/>
              <w:rPr>
                <w:rFonts w:hint="eastAsia"/>
                <w:color w:val="auto"/>
                <w:highlight w:val="none"/>
              </w:rPr>
            </w:pPr>
          </w:p>
        </w:tc>
        <w:tc>
          <w:tcPr>
            <w:tcW w:w="580" w:type="pct"/>
            <w:vAlign w:val="center"/>
          </w:tcPr>
          <w:p w14:paraId="10B34537">
            <w:pPr>
              <w:pStyle w:val="19"/>
              <w:rPr>
                <w:rFonts w:hint="eastAsia"/>
                <w:color w:val="auto"/>
                <w:highlight w:val="none"/>
              </w:rPr>
            </w:pPr>
          </w:p>
        </w:tc>
      </w:tr>
    </w:tbl>
    <w:p w14:paraId="06BFB78F">
      <w:pPr>
        <w:spacing w:line="360" w:lineRule="auto"/>
        <w:rPr>
          <w:rFonts w:hint="eastAsia" w:ascii="宋体" w:hAnsi="宋体"/>
          <w:color w:val="auto"/>
          <w:sz w:val="24"/>
          <w:highlight w:val="none"/>
        </w:rPr>
      </w:pPr>
    </w:p>
    <w:p w14:paraId="0805486B">
      <w:pPr>
        <w:spacing w:line="360" w:lineRule="auto"/>
        <w:rPr>
          <w:rFonts w:ascii="宋体"/>
          <w:color w:val="auto"/>
          <w:sz w:val="24"/>
          <w:highlight w:val="none"/>
        </w:rPr>
      </w:pPr>
      <w:r>
        <w:rPr>
          <w:rFonts w:hint="eastAsia" w:ascii="宋体" w:hAnsi="宋体"/>
          <w:color w:val="auto"/>
          <w:sz w:val="24"/>
          <w:highlight w:val="none"/>
        </w:rPr>
        <w:t>投标人：（电子签章）</w:t>
      </w:r>
    </w:p>
    <w:p w14:paraId="305F74C7">
      <w:pPr>
        <w:spacing w:line="360" w:lineRule="auto"/>
        <w:rPr>
          <w:rFonts w:ascii="宋体"/>
          <w:color w:val="auto"/>
          <w:sz w:val="24"/>
          <w:highlight w:val="none"/>
        </w:rPr>
      </w:pPr>
      <w:r>
        <w:rPr>
          <w:rFonts w:hint="eastAsia" w:ascii="宋体" w:hAnsi="宋体"/>
          <w:color w:val="auto"/>
          <w:sz w:val="24"/>
          <w:highlight w:val="none"/>
        </w:rPr>
        <w:t>法定代表人或其委托代理人：（电子签章或签名）</w:t>
      </w:r>
    </w:p>
    <w:p w14:paraId="60B4C625">
      <w:pPr>
        <w:pStyle w:val="19"/>
        <w:rPr>
          <w:rFonts w:hint="eastAsia"/>
          <w:color w:val="auto"/>
          <w:highlight w:val="none"/>
        </w:rPr>
      </w:pPr>
      <w:r>
        <w:rPr>
          <w:rFonts w:hint="eastAsia"/>
          <w:color w:val="auto"/>
          <w:highlight w:val="none"/>
        </w:rPr>
        <w:t>日期：年月日</w:t>
      </w:r>
    </w:p>
    <w:p w14:paraId="0A2F3685">
      <w:pPr>
        <w:pStyle w:val="5"/>
        <w:rPr>
          <w:color w:val="auto"/>
          <w:highlight w:val="none"/>
        </w:rPr>
      </w:pPr>
      <w:r>
        <w:rPr>
          <w:rFonts w:hint="eastAsia"/>
          <w:color w:val="auto"/>
          <w:szCs w:val="21"/>
          <w:highlight w:val="none"/>
        </w:rPr>
        <w:br w:type="page"/>
      </w:r>
      <w:bookmarkStart w:id="81" w:name="_Toc101004094"/>
      <w:bookmarkStart w:id="82" w:name="_Toc13665002"/>
      <w:bookmarkStart w:id="83" w:name="_Toc25156"/>
      <w:bookmarkStart w:id="84" w:name="_Toc141099652"/>
      <w:r>
        <w:rPr>
          <w:rFonts w:hint="eastAsia"/>
          <w:color w:val="auto"/>
          <w:highlight w:val="none"/>
        </w:rPr>
        <w:t>二、</w:t>
      </w:r>
      <w:r>
        <w:rPr>
          <w:color w:val="auto"/>
          <w:highlight w:val="none"/>
        </w:rPr>
        <w:t>资格文件</w:t>
      </w:r>
      <w:bookmarkEnd w:id="81"/>
      <w:bookmarkEnd w:id="82"/>
      <w:bookmarkEnd w:id="83"/>
      <w:bookmarkEnd w:id="84"/>
    </w:p>
    <w:p w14:paraId="504B4363">
      <w:pPr>
        <w:pStyle w:val="5"/>
        <w:rPr>
          <w:color w:val="auto"/>
          <w:highlight w:val="none"/>
        </w:rPr>
      </w:pPr>
      <w:bookmarkStart w:id="85" w:name="_Toc23054"/>
      <w:r>
        <w:rPr>
          <w:rFonts w:hint="eastAsia"/>
          <w:color w:val="auto"/>
          <w:highlight w:val="none"/>
        </w:rPr>
        <w:t>（一）投标人信息表</w:t>
      </w:r>
      <w:bookmarkEnd w:id="85"/>
    </w:p>
    <w:tbl>
      <w:tblPr>
        <w:tblStyle w:val="3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681C1C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2772" w:type="dxa"/>
            <w:gridSpan w:val="2"/>
            <w:tcBorders>
              <w:right w:val="single" w:color="auto" w:sz="4" w:space="0"/>
            </w:tcBorders>
            <w:vAlign w:val="center"/>
          </w:tcPr>
          <w:p w14:paraId="72651A35">
            <w:pPr>
              <w:widowControl/>
              <w:jc w:val="center"/>
              <w:rPr>
                <w:rFonts w:hint="eastAsia" w:ascii="宋体" w:hAnsi="宋体"/>
                <w:color w:val="auto"/>
                <w:sz w:val="24"/>
                <w:highlight w:val="none"/>
              </w:rPr>
            </w:pPr>
            <w:r>
              <w:rPr>
                <w:rFonts w:hint="eastAsia" w:ascii="宋体" w:hAnsi="宋体"/>
                <w:color w:val="auto"/>
                <w:sz w:val="24"/>
                <w:highlight w:val="none"/>
              </w:rPr>
              <w:t>公司名称</w:t>
            </w:r>
          </w:p>
        </w:tc>
        <w:tc>
          <w:tcPr>
            <w:tcW w:w="6407" w:type="dxa"/>
            <w:gridSpan w:val="4"/>
            <w:tcBorders>
              <w:left w:val="single" w:color="auto" w:sz="4" w:space="0"/>
            </w:tcBorders>
            <w:vAlign w:val="center"/>
          </w:tcPr>
          <w:p w14:paraId="2BAB5D04">
            <w:pPr>
              <w:widowControl/>
              <w:jc w:val="left"/>
              <w:rPr>
                <w:rFonts w:hint="eastAsia" w:ascii="宋体" w:hAnsi="宋体"/>
                <w:color w:val="auto"/>
                <w:sz w:val="24"/>
                <w:highlight w:val="none"/>
              </w:rPr>
            </w:pPr>
          </w:p>
        </w:tc>
      </w:tr>
      <w:tr w14:paraId="26A88A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2772" w:type="dxa"/>
            <w:gridSpan w:val="2"/>
            <w:tcBorders>
              <w:right w:val="single" w:color="auto" w:sz="4" w:space="0"/>
            </w:tcBorders>
            <w:vAlign w:val="center"/>
          </w:tcPr>
          <w:p w14:paraId="19795203">
            <w:pPr>
              <w:widowControl/>
              <w:jc w:val="center"/>
              <w:rPr>
                <w:rFonts w:hint="eastAsia" w:ascii="宋体" w:hAnsi="宋体"/>
                <w:color w:val="auto"/>
                <w:sz w:val="24"/>
                <w:highlight w:val="none"/>
              </w:rPr>
            </w:pPr>
            <w:r>
              <w:rPr>
                <w:rFonts w:hint="eastAsia" w:ascii="宋体" w:hAnsi="宋体"/>
                <w:color w:val="auto"/>
                <w:sz w:val="24"/>
                <w:highlight w:val="none"/>
              </w:rPr>
              <w:t>公司地址</w:t>
            </w:r>
          </w:p>
        </w:tc>
        <w:tc>
          <w:tcPr>
            <w:tcW w:w="6407" w:type="dxa"/>
            <w:gridSpan w:val="4"/>
            <w:tcBorders>
              <w:left w:val="single" w:color="auto" w:sz="4" w:space="0"/>
            </w:tcBorders>
            <w:vAlign w:val="center"/>
          </w:tcPr>
          <w:p w14:paraId="5E4C0D56">
            <w:pPr>
              <w:widowControl/>
              <w:jc w:val="center"/>
              <w:rPr>
                <w:rFonts w:hint="eastAsia" w:ascii="宋体" w:hAnsi="宋体"/>
                <w:color w:val="auto"/>
                <w:sz w:val="24"/>
                <w:highlight w:val="none"/>
              </w:rPr>
            </w:pPr>
          </w:p>
        </w:tc>
      </w:tr>
      <w:tr w14:paraId="3B289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2772" w:type="dxa"/>
            <w:gridSpan w:val="2"/>
            <w:tcBorders>
              <w:right w:val="single" w:color="auto" w:sz="4" w:space="0"/>
            </w:tcBorders>
            <w:vAlign w:val="center"/>
          </w:tcPr>
          <w:p w14:paraId="2ADD51BD">
            <w:pPr>
              <w:widowControl/>
              <w:jc w:val="center"/>
              <w:rPr>
                <w:rFonts w:hint="eastAsia" w:ascii="宋体" w:hAnsi="宋体"/>
                <w:color w:val="auto"/>
                <w:sz w:val="24"/>
                <w:highlight w:val="none"/>
              </w:rPr>
            </w:pPr>
            <w:r>
              <w:rPr>
                <w:rFonts w:hint="eastAsia" w:ascii="宋体" w:hAnsi="宋体"/>
                <w:color w:val="auto"/>
                <w:sz w:val="24"/>
                <w:highlight w:val="none"/>
              </w:rPr>
              <w:t>公司性质</w:t>
            </w:r>
          </w:p>
        </w:tc>
        <w:tc>
          <w:tcPr>
            <w:tcW w:w="1716" w:type="dxa"/>
            <w:tcBorders>
              <w:left w:val="single" w:color="auto" w:sz="4" w:space="0"/>
              <w:right w:val="single" w:color="auto" w:sz="4" w:space="0"/>
            </w:tcBorders>
            <w:vAlign w:val="center"/>
          </w:tcPr>
          <w:p w14:paraId="0795844C">
            <w:pPr>
              <w:widowControl/>
              <w:jc w:val="center"/>
              <w:rPr>
                <w:rFonts w:hint="eastAsia" w:ascii="宋体" w:hAnsi="宋体"/>
                <w:color w:val="auto"/>
                <w:sz w:val="24"/>
                <w:highlight w:val="none"/>
              </w:rPr>
            </w:pPr>
          </w:p>
        </w:tc>
        <w:tc>
          <w:tcPr>
            <w:tcW w:w="2185" w:type="dxa"/>
            <w:gridSpan w:val="2"/>
            <w:tcBorders>
              <w:left w:val="single" w:color="auto" w:sz="4" w:space="0"/>
              <w:right w:val="single" w:color="auto" w:sz="4" w:space="0"/>
            </w:tcBorders>
            <w:vAlign w:val="center"/>
          </w:tcPr>
          <w:p w14:paraId="0E0119C6">
            <w:pPr>
              <w:widowControl/>
              <w:jc w:val="center"/>
              <w:rPr>
                <w:rFonts w:hint="eastAsia" w:ascii="宋体" w:hAnsi="宋体"/>
                <w:color w:val="auto"/>
                <w:sz w:val="24"/>
                <w:highlight w:val="none"/>
              </w:rPr>
            </w:pPr>
            <w:r>
              <w:rPr>
                <w:rFonts w:hint="eastAsia" w:ascii="宋体" w:hAnsi="宋体"/>
                <w:color w:val="auto"/>
                <w:sz w:val="24"/>
                <w:highlight w:val="none"/>
              </w:rPr>
              <w:t>公司类型</w:t>
            </w:r>
          </w:p>
        </w:tc>
        <w:tc>
          <w:tcPr>
            <w:tcW w:w="2506" w:type="dxa"/>
            <w:tcBorders>
              <w:left w:val="single" w:color="auto" w:sz="4" w:space="0"/>
            </w:tcBorders>
            <w:vAlign w:val="center"/>
          </w:tcPr>
          <w:p w14:paraId="5B468351">
            <w:pPr>
              <w:widowControl/>
              <w:jc w:val="center"/>
              <w:rPr>
                <w:rFonts w:hint="eastAsia" w:ascii="宋体" w:hAnsi="宋体"/>
                <w:color w:val="auto"/>
                <w:sz w:val="24"/>
                <w:highlight w:val="none"/>
              </w:rPr>
            </w:pPr>
          </w:p>
        </w:tc>
      </w:tr>
      <w:tr w14:paraId="5B7245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2772" w:type="dxa"/>
            <w:gridSpan w:val="2"/>
            <w:vAlign w:val="center"/>
          </w:tcPr>
          <w:p w14:paraId="1E6B0AC6">
            <w:pPr>
              <w:widowControl/>
              <w:jc w:val="center"/>
              <w:rPr>
                <w:rFonts w:hint="eastAsia" w:ascii="宋体" w:hAnsi="宋体"/>
                <w:color w:val="auto"/>
                <w:sz w:val="24"/>
                <w:highlight w:val="none"/>
              </w:rPr>
            </w:pPr>
            <w:r>
              <w:rPr>
                <w:rFonts w:hint="eastAsia" w:ascii="宋体" w:hAnsi="宋体"/>
                <w:color w:val="auto"/>
                <w:sz w:val="24"/>
                <w:highlight w:val="none"/>
              </w:rPr>
              <w:t>法定代表人</w:t>
            </w:r>
          </w:p>
        </w:tc>
        <w:tc>
          <w:tcPr>
            <w:tcW w:w="1716" w:type="dxa"/>
            <w:vAlign w:val="center"/>
          </w:tcPr>
          <w:p w14:paraId="0B8919FC">
            <w:pPr>
              <w:widowControl/>
              <w:jc w:val="center"/>
              <w:rPr>
                <w:rFonts w:hint="eastAsia" w:ascii="宋体" w:hAnsi="宋体"/>
                <w:color w:val="auto"/>
                <w:sz w:val="24"/>
                <w:highlight w:val="none"/>
              </w:rPr>
            </w:pPr>
          </w:p>
        </w:tc>
        <w:tc>
          <w:tcPr>
            <w:tcW w:w="2185" w:type="dxa"/>
            <w:gridSpan w:val="2"/>
            <w:tcBorders>
              <w:right w:val="single" w:color="auto" w:sz="4" w:space="0"/>
            </w:tcBorders>
            <w:vAlign w:val="center"/>
          </w:tcPr>
          <w:p w14:paraId="25B69A09">
            <w:pPr>
              <w:widowControl/>
              <w:jc w:val="center"/>
              <w:rPr>
                <w:rFonts w:hint="eastAsia" w:ascii="宋体" w:hAnsi="宋体"/>
                <w:color w:val="auto"/>
                <w:sz w:val="24"/>
                <w:highlight w:val="none"/>
              </w:rPr>
            </w:pPr>
            <w:r>
              <w:rPr>
                <w:rFonts w:hint="eastAsia" w:ascii="宋体" w:hAnsi="宋体"/>
                <w:color w:val="auto"/>
                <w:sz w:val="24"/>
                <w:highlight w:val="none"/>
              </w:rPr>
              <w:t>注册资金</w:t>
            </w:r>
          </w:p>
        </w:tc>
        <w:tc>
          <w:tcPr>
            <w:tcW w:w="2506" w:type="dxa"/>
            <w:tcBorders>
              <w:left w:val="single" w:color="auto" w:sz="4" w:space="0"/>
            </w:tcBorders>
            <w:vAlign w:val="center"/>
          </w:tcPr>
          <w:p w14:paraId="69401BAA">
            <w:pPr>
              <w:widowControl/>
              <w:jc w:val="center"/>
              <w:rPr>
                <w:rFonts w:hint="eastAsia" w:ascii="宋体" w:hAnsi="宋体"/>
                <w:color w:val="auto"/>
                <w:sz w:val="24"/>
                <w:highlight w:val="none"/>
              </w:rPr>
            </w:pPr>
          </w:p>
        </w:tc>
      </w:tr>
      <w:tr w14:paraId="1492D4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2772" w:type="dxa"/>
            <w:gridSpan w:val="2"/>
            <w:vMerge w:val="restart"/>
            <w:vAlign w:val="center"/>
          </w:tcPr>
          <w:p w14:paraId="49D33DA2">
            <w:pPr>
              <w:widowControl/>
              <w:jc w:val="center"/>
              <w:rPr>
                <w:rFonts w:hint="eastAsia" w:ascii="宋体" w:hAnsi="宋体"/>
                <w:color w:val="auto"/>
                <w:sz w:val="24"/>
                <w:highlight w:val="none"/>
              </w:rPr>
            </w:pPr>
            <w:r>
              <w:rPr>
                <w:rFonts w:hint="eastAsia" w:ascii="宋体" w:hAnsi="宋体"/>
                <w:color w:val="auto"/>
                <w:sz w:val="24"/>
                <w:highlight w:val="none"/>
              </w:rPr>
              <w:t>注册日期</w:t>
            </w:r>
          </w:p>
        </w:tc>
        <w:tc>
          <w:tcPr>
            <w:tcW w:w="1716" w:type="dxa"/>
            <w:vMerge w:val="restart"/>
            <w:vAlign w:val="center"/>
          </w:tcPr>
          <w:p w14:paraId="47F05B99">
            <w:pPr>
              <w:widowControl/>
              <w:jc w:val="center"/>
              <w:rPr>
                <w:rFonts w:hint="eastAsia" w:ascii="宋体" w:hAnsi="宋体"/>
                <w:color w:val="auto"/>
                <w:sz w:val="24"/>
                <w:highlight w:val="none"/>
              </w:rPr>
            </w:pPr>
          </w:p>
        </w:tc>
        <w:tc>
          <w:tcPr>
            <w:tcW w:w="2185" w:type="dxa"/>
            <w:gridSpan w:val="2"/>
            <w:tcBorders>
              <w:bottom w:val="single" w:color="auto" w:sz="4" w:space="0"/>
            </w:tcBorders>
            <w:vAlign w:val="center"/>
          </w:tcPr>
          <w:p w14:paraId="6AF6DE10">
            <w:pPr>
              <w:widowControl/>
              <w:jc w:val="center"/>
              <w:rPr>
                <w:rFonts w:hint="eastAsia" w:ascii="宋体" w:hAnsi="宋体"/>
                <w:color w:val="auto"/>
                <w:sz w:val="24"/>
                <w:highlight w:val="none"/>
              </w:rPr>
            </w:pPr>
            <w:r>
              <w:rPr>
                <w:rFonts w:hint="eastAsia" w:ascii="宋体" w:hAnsi="宋体"/>
                <w:color w:val="auto"/>
                <w:sz w:val="24"/>
                <w:highlight w:val="none"/>
              </w:rPr>
              <w:t>开户银行</w:t>
            </w:r>
          </w:p>
        </w:tc>
        <w:tc>
          <w:tcPr>
            <w:tcW w:w="2506" w:type="dxa"/>
            <w:tcBorders>
              <w:bottom w:val="single" w:color="auto" w:sz="4" w:space="0"/>
            </w:tcBorders>
            <w:vAlign w:val="center"/>
          </w:tcPr>
          <w:p w14:paraId="1BB1F1B8">
            <w:pPr>
              <w:widowControl/>
              <w:jc w:val="center"/>
              <w:rPr>
                <w:rFonts w:hint="eastAsia" w:ascii="宋体" w:hAnsi="宋体"/>
                <w:color w:val="auto"/>
                <w:sz w:val="24"/>
                <w:highlight w:val="none"/>
              </w:rPr>
            </w:pPr>
          </w:p>
        </w:tc>
      </w:tr>
      <w:tr w14:paraId="3699FE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2772" w:type="dxa"/>
            <w:gridSpan w:val="2"/>
            <w:vMerge w:val="continue"/>
            <w:vAlign w:val="center"/>
          </w:tcPr>
          <w:p w14:paraId="5FEFC064">
            <w:pPr>
              <w:widowControl/>
              <w:jc w:val="center"/>
              <w:rPr>
                <w:rFonts w:hint="eastAsia" w:ascii="宋体" w:hAnsi="宋体"/>
                <w:color w:val="auto"/>
                <w:sz w:val="24"/>
                <w:highlight w:val="none"/>
              </w:rPr>
            </w:pPr>
          </w:p>
        </w:tc>
        <w:tc>
          <w:tcPr>
            <w:tcW w:w="1716" w:type="dxa"/>
            <w:vMerge w:val="continue"/>
            <w:vAlign w:val="center"/>
          </w:tcPr>
          <w:p w14:paraId="0BB4A083">
            <w:pPr>
              <w:widowControl/>
              <w:jc w:val="center"/>
              <w:rPr>
                <w:rFonts w:hint="eastAsia" w:ascii="宋体" w:hAnsi="宋体"/>
                <w:color w:val="auto"/>
                <w:sz w:val="24"/>
                <w:highlight w:val="none"/>
              </w:rPr>
            </w:pPr>
          </w:p>
        </w:tc>
        <w:tc>
          <w:tcPr>
            <w:tcW w:w="2185" w:type="dxa"/>
            <w:gridSpan w:val="2"/>
            <w:tcBorders>
              <w:top w:val="single" w:color="auto" w:sz="4" w:space="0"/>
            </w:tcBorders>
            <w:vAlign w:val="center"/>
          </w:tcPr>
          <w:p w14:paraId="2B7E6F73">
            <w:pPr>
              <w:widowControl/>
              <w:jc w:val="center"/>
              <w:rPr>
                <w:rFonts w:hint="eastAsia" w:ascii="宋体" w:hAnsi="宋体"/>
                <w:color w:val="auto"/>
                <w:sz w:val="24"/>
                <w:highlight w:val="none"/>
              </w:rPr>
            </w:pPr>
            <w:r>
              <w:rPr>
                <w:rFonts w:hint="eastAsia" w:ascii="宋体" w:hAnsi="宋体"/>
                <w:color w:val="auto"/>
                <w:sz w:val="24"/>
                <w:highlight w:val="none"/>
              </w:rPr>
              <w:t>开户基本账号</w:t>
            </w:r>
          </w:p>
        </w:tc>
        <w:tc>
          <w:tcPr>
            <w:tcW w:w="2506" w:type="dxa"/>
            <w:tcBorders>
              <w:top w:val="single" w:color="auto" w:sz="4" w:space="0"/>
            </w:tcBorders>
            <w:vAlign w:val="center"/>
          </w:tcPr>
          <w:p w14:paraId="2C86488C">
            <w:pPr>
              <w:widowControl/>
              <w:jc w:val="center"/>
              <w:rPr>
                <w:rFonts w:hint="eastAsia" w:ascii="宋体" w:hAnsi="宋体"/>
                <w:color w:val="auto"/>
                <w:sz w:val="24"/>
                <w:highlight w:val="none"/>
              </w:rPr>
            </w:pPr>
          </w:p>
        </w:tc>
      </w:tr>
      <w:tr w14:paraId="1A0A6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jc w:val="center"/>
        </w:trPr>
        <w:tc>
          <w:tcPr>
            <w:tcW w:w="2772" w:type="dxa"/>
            <w:gridSpan w:val="2"/>
            <w:vMerge w:val="restart"/>
            <w:vAlign w:val="center"/>
          </w:tcPr>
          <w:p w14:paraId="4CC24DB9">
            <w:pPr>
              <w:widowControl/>
              <w:jc w:val="center"/>
              <w:rPr>
                <w:rFonts w:hint="eastAsia" w:ascii="宋体" w:hAnsi="宋体"/>
                <w:color w:val="auto"/>
                <w:sz w:val="24"/>
                <w:highlight w:val="none"/>
              </w:rPr>
            </w:pPr>
            <w:r>
              <w:rPr>
                <w:rFonts w:hint="eastAsia" w:ascii="宋体" w:hAnsi="宋体"/>
                <w:color w:val="auto"/>
                <w:sz w:val="24"/>
                <w:highlight w:val="none"/>
              </w:rPr>
              <w:t>联系人</w:t>
            </w:r>
          </w:p>
        </w:tc>
        <w:tc>
          <w:tcPr>
            <w:tcW w:w="1716" w:type="dxa"/>
            <w:vMerge w:val="restart"/>
            <w:vAlign w:val="center"/>
          </w:tcPr>
          <w:p w14:paraId="552C9FE7">
            <w:pPr>
              <w:widowControl/>
              <w:jc w:val="center"/>
              <w:rPr>
                <w:rFonts w:hint="eastAsia" w:ascii="宋体" w:hAnsi="宋体"/>
                <w:color w:val="auto"/>
                <w:sz w:val="24"/>
                <w:highlight w:val="none"/>
              </w:rPr>
            </w:pPr>
          </w:p>
        </w:tc>
        <w:tc>
          <w:tcPr>
            <w:tcW w:w="1047" w:type="dxa"/>
            <w:vMerge w:val="restart"/>
            <w:vAlign w:val="center"/>
          </w:tcPr>
          <w:p w14:paraId="2BFF37C3">
            <w:pPr>
              <w:widowControl/>
              <w:jc w:val="center"/>
              <w:rPr>
                <w:rFonts w:hint="eastAsia" w:ascii="宋体" w:hAnsi="宋体"/>
                <w:color w:val="auto"/>
                <w:sz w:val="24"/>
                <w:highlight w:val="none"/>
              </w:rPr>
            </w:pPr>
            <w:r>
              <w:rPr>
                <w:rFonts w:hint="eastAsia" w:ascii="宋体" w:hAnsi="宋体"/>
                <w:color w:val="auto"/>
                <w:sz w:val="24"/>
                <w:highlight w:val="none"/>
              </w:rPr>
              <w:t>联系电话</w:t>
            </w:r>
          </w:p>
        </w:tc>
        <w:tc>
          <w:tcPr>
            <w:tcW w:w="1138" w:type="dxa"/>
            <w:vAlign w:val="center"/>
          </w:tcPr>
          <w:p w14:paraId="790AFB51">
            <w:pPr>
              <w:widowControl/>
              <w:jc w:val="center"/>
              <w:rPr>
                <w:rFonts w:hint="eastAsia" w:ascii="宋体" w:hAnsi="宋体"/>
                <w:color w:val="auto"/>
                <w:sz w:val="24"/>
                <w:highlight w:val="none"/>
              </w:rPr>
            </w:pPr>
            <w:r>
              <w:rPr>
                <w:rFonts w:hint="eastAsia" w:ascii="宋体" w:hAnsi="宋体"/>
                <w:color w:val="auto"/>
                <w:sz w:val="24"/>
                <w:highlight w:val="none"/>
              </w:rPr>
              <w:t>手机</w:t>
            </w:r>
          </w:p>
        </w:tc>
        <w:tc>
          <w:tcPr>
            <w:tcW w:w="2506" w:type="dxa"/>
            <w:vAlign w:val="center"/>
          </w:tcPr>
          <w:p w14:paraId="35585D92">
            <w:pPr>
              <w:widowControl/>
              <w:jc w:val="center"/>
              <w:rPr>
                <w:rFonts w:hint="eastAsia" w:ascii="宋体" w:hAnsi="宋体"/>
                <w:color w:val="auto"/>
                <w:sz w:val="24"/>
                <w:highlight w:val="none"/>
              </w:rPr>
            </w:pPr>
          </w:p>
        </w:tc>
      </w:tr>
      <w:tr w14:paraId="5F3402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jc w:val="center"/>
        </w:trPr>
        <w:tc>
          <w:tcPr>
            <w:tcW w:w="2772" w:type="dxa"/>
            <w:gridSpan w:val="2"/>
            <w:vMerge w:val="continue"/>
            <w:vAlign w:val="center"/>
          </w:tcPr>
          <w:p w14:paraId="1C788E32">
            <w:pPr>
              <w:widowControl/>
              <w:jc w:val="center"/>
              <w:rPr>
                <w:rFonts w:hint="eastAsia" w:ascii="宋体" w:hAnsi="宋体"/>
                <w:color w:val="auto"/>
                <w:sz w:val="24"/>
                <w:highlight w:val="none"/>
              </w:rPr>
            </w:pPr>
          </w:p>
        </w:tc>
        <w:tc>
          <w:tcPr>
            <w:tcW w:w="1716" w:type="dxa"/>
            <w:vMerge w:val="continue"/>
            <w:vAlign w:val="center"/>
          </w:tcPr>
          <w:p w14:paraId="57F3C83D">
            <w:pPr>
              <w:widowControl/>
              <w:jc w:val="center"/>
              <w:rPr>
                <w:rFonts w:hint="eastAsia" w:ascii="宋体" w:hAnsi="宋体"/>
                <w:color w:val="auto"/>
                <w:sz w:val="24"/>
                <w:highlight w:val="none"/>
              </w:rPr>
            </w:pPr>
          </w:p>
        </w:tc>
        <w:tc>
          <w:tcPr>
            <w:tcW w:w="1047" w:type="dxa"/>
            <w:vMerge w:val="continue"/>
            <w:vAlign w:val="center"/>
          </w:tcPr>
          <w:p w14:paraId="3E55AF37">
            <w:pPr>
              <w:widowControl/>
              <w:jc w:val="center"/>
              <w:rPr>
                <w:rFonts w:hint="eastAsia" w:ascii="宋体" w:hAnsi="宋体"/>
                <w:color w:val="auto"/>
                <w:sz w:val="24"/>
                <w:highlight w:val="none"/>
              </w:rPr>
            </w:pPr>
          </w:p>
        </w:tc>
        <w:tc>
          <w:tcPr>
            <w:tcW w:w="1138" w:type="dxa"/>
            <w:vAlign w:val="center"/>
          </w:tcPr>
          <w:p w14:paraId="782FAFC3">
            <w:pPr>
              <w:widowControl/>
              <w:jc w:val="center"/>
              <w:rPr>
                <w:rFonts w:hint="eastAsia" w:ascii="宋体" w:hAnsi="宋体"/>
                <w:color w:val="auto"/>
                <w:sz w:val="24"/>
                <w:highlight w:val="none"/>
              </w:rPr>
            </w:pPr>
            <w:r>
              <w:rPr>
                <w:rFonts w:hint="eastAsia" w:ascii="宋体" w:hAnsi="宋体"/>
                <w:color w:val="auto"/>
                <w:sz w:val="24"/>
                <w:highlight w:val="none"/>
              </w:rPr>
              <w:t>固话</w:t>
            </w:r>
          </w:p>
        </w:tc>
        <w:tc>
          <w:tcPr>
            <w:tcW w:w="2506" w:type="dxa"/>
            <w:vAlign w:val="center"/>
          </w:tcPr>
          <w:p w14:paraId="5876C36D">
            <w:pPr>
              <w:widowControl/>
              <w:jc w:val="center"/>
              <w:rPr>
                <w:rFonts w:hint="eastAsia" w:ascii="宋体" w:hAnsi="宋体"/>
                <w:color w:val="auto"/>
                <w:sz w:val="24"/>
                <w:highlight w:val="none"/>
              </w:rPr>
            </w:pPr>
          </w:p>
        </w:tc>
      </w:tr>
      <w:tr w14:paraId="509A93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jc w:val="center"/>
        </w:trPr>
        <w:tc>
          <w:tcPr>
            <w:tcW w:w="2772" w:type="dxa"/>
            <w:gridSpan w:val="2"/>
            <w:vAlign w:val="center"/>
          </w:tcPr>
          <w:p w14:paraId="69524F15">
            <w:pPr>
              <w:widowControl/>
              <w:jc w:val="center"/>
              <w:rPr>
                <w:rFonts w:hint="eastAsia" w:ascii="宋体" w:hAnsi="宋体"/>
                <w:color w:val="auto"/>
                <w:sz w:val="24"/>
                <w:highlight w:val="none"/>
              </w:rPr>
            </w:pPr>
            <w:r>
              <w:rPr>
                <w:rFonts w:hint="eastAsia" w:ascii="宋体" w:hAnsi="宋体"/>
                <w:color w:val="auto"/>
                <w:sz w:val="24"/>
                <w:highlight w:val="none"/>
              </w:rPr>
              <w:t>联系传真</w:t>
            </w:r>
          </w:p>
        </w:tc>
        <w:tc>
          <w:tcPr>
            <w:tcW w:w="1716" w:type="dxa"/>
            <w:vAlign w:val="center"/>
          </w:tcPr>
          <w:p w14:paraId="15B0C880">
            <w:pPr>
              <w:widowControl/>
              <w:jc w:val="center"/>
              <w:rPr>
                <w:rFonts w:hint="eastAsia" w:ascii="宋体" w:hAnsi="宋体"/>
                <w:color w:val="auto"/>
                <w:sz w:val="24"/>
                <w:highlight w:val="none"/>
              </w:rPr>
            </w:pPr>
          </w:p>
        </w:tc>
        <w:tc>
          <w:tcPr>
            <w:tcW w:w="2185" w:type="dxa"/>
            <w:gridSpan w:val="2"/>
            <w:vAlign w:val="center"/>
          </w:tcPr>
          <w:p w14:paraId="3A08913F">
            <w:pPr>
              <w:widowControl/>
              <w:jc w:val="center"/>
              <w:rPr>
                <w:rFonts w:hint="eastAsia" w:ascii="宋体" w:hAnsi="宋体"/>
                <w:color w:val="auto"/>
                <w:sz w:val="24"/>
                <w:highlight w:val="none"/>
              </w:rPr>
            </w:pPr>
            <w:r>
              <w:rPr>
                <w:rFonts w:hint="eastAsia" w:ascii="宋体" w:hAnsi="宋体"/>
                <w:color w:val="auto"/>
                <w:sz w:val="24"/>
                <w:highlight w:val="none"/>
              </w:rPr>
              <w:t>联系邮箱</w:t>
            </w:r>
          </w:p>
        </w:tc>
        <w:tc>
          <w:tcPr>
            <w:tcW w:w="2506" w:type="dxa"/>
            <w:vAlign w:val="center"/>
          </w:tcPr>
          <w:p w14:paraId="75B8E0F2">
            <w:pPr>
              <w:widowControl/>
              <w:jc w:val="center"/>
              <w:rPr>
                <w:rFonts w:hint="eastAsia" w:ascii="宋体" w:hAnsi="宋体"/>
                <w:color w:val="auto"/>
                <w:sz w:val="24"/>
                <w:highlight w:val="none"/>
              </w:rPr>
            </w:pPr>
          </w:p>
        </w:tc>
      </w:tr>
      <w:tr w14:paraId="69CF7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2772" w:type="dxa"/>
            <w:gridSpan w:val="2"/>
            <w:vAlign w:val="center"/>
          </w:tcPr>
          <w:p w14:paraId="551BA14D">
            <w:pPr>
              <w:widowControl/>
              <w:jc w:val="center"/>
              <w:rPr>
                <w:rFonts w:hint="eastAsia" w:ascii="宋体" w:hAnsi="宋体"/>
                <w:color w:val="auto"/>
                <w:sz w:val="24"/>
                <w:highlight w:val="none"/>
              </w:rPr>
            </w:pPr>
            <w:r>
              <w:rPr>
                <w:rFonts w:hint="eastAsia" w:ascii="宋体" w:hAnsi="宋体"/>
                <w:color w:val="auto"/>
                <w:sz w:val="24"/>
                <w:highlight w:val="none"/>
              </w:rPr>
              <w:t>经营范围</w:t>
            </w:r>
          </w:p>
        </w:tc>
        <w:tc>
          <w:tcPr>
            <w:tcW w:w="6407" w:type="dxa"/>
            <w:gridSpan w:val="4"/>
            <w:vAlign w:val="center"/>
          </w:tcPr>
          <w:p w14:paraId="2007E456">
            <w:pPr>
              <w:widowControl/>
              <w:jc w:val="center"/>
              <w:rPr>
                <w:rFonts w:hint="eastAsia" w:ascii="宋体" w:hAnsi="宋体"/>
                <w:color w:val="auto"/>
                <w:sz w:val="24"/>
                <w:highlight w:val="none"/>
              </w:rPr>
            </w:pPr>
          </w:p>
        </w:tc>
      </w:tr>
      <w:tr w14:paraId="2BBE12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2772" w:type="dxa"/>
            <w:gridSpan w:val="2"/>
            <w:vAlign w:val="center"/>
          </w:tcPr>
          <w:p w14:paraId="571B110C">
            <w:pPr>
              <w:widowControl/>
              <w:jc w:val="center"/>
              <w:rPr>
                <w:rFonts w:hint="eastAsia" w:ascii="宋体" w:hAnsi="宋体"/>
                <w:color w:val="auto"/>
                <w:sz w:val="24"/>
                <w:highlight w:val="none"/>
              </w:rPr>
            </w:pPr>
            <w:r>
              <w:rPr>
                <w:rFonts w:hint="eastAsia" w:ascii="宋体" w:hAnsi="宋体"/>
                <w:color w:val="auto"/>
                <w:sz w:val="24"/>
                <w:highlight w:val="none"/>
              </w:rPr>
              <w:t>公司管理体系认证</w:t>
            </w:r>
          </w:p>
        </w:tc>
        <w:tc>
          <w:tcPr>
            <w:tcW w:w="6407" w:type="dxa"/>
            <w:gridSpan w:val="4"/>
            <w:vAlign w:val="center"/>
          </w:tcPr>
          <w:p w14:paraId="4469D931">
            <w:pPr>
              <w:widowControl/>
              <w:jc w:val="center"/>
              <w:rPr>
                <w:rFonts w:hint="eastAsia" w:ascii="宋体" w:hAnsi="宋体"/>
                <w:color w:val="auto"/>
                <w:sz w:val="24"/>
                <w:highlight w:val="none"/>
              </w:rPr>
            </w:pPr>
            <w:r>
              <w:rPr>
                <w:rFonts w:hint="eastAsia" w:ascii="宋体" w:hAnsi="宋体"/>
                <w:color w:val="auto"/>
                <w:sz w:val="24"/>
                <w:highlight w:val="none"/>
              </w:rPr>
              <w:t>（质量、职业、环境管理体系）</w:t>
            </w:r>
          </w:p>
        </w:tc>
      </w:tr>
      <w:tr w14:paraId="58204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jc w:val="center"/>
        </w:trPr>
        <w:tc>
          <w:tcPr>
            <w:tcW w:w="9179" w:type="dxa"/>
            <w:gridSpan w:val="6"/>
            <w:vAlign w:val="center"/>
          </w:tcPr>
          <w:p w14:paraId="35E61E2C">
            <w:pPr>
              <w:widowControl/>
              <w:jc w:val="left"/>
              <w:rPr>
                <w:rFonts w:hint="eastAsia" w:ascii="宋体" w:hAnsi="宋体"/>
                <w:color w:val="auto"/>
                <w:sz w:val="24"/>
                <w:highlight w:val="none"/>
              </w:rPr>
            </w:pPr>
            <w:r>
              <w:rPr>
                <w:rFonts w:hint="eastAsia" w:ascii="宋体" w:hAnsi="宋体"/>
                <w:color w:val="auto"/>
                <w:sz w:val="24"/>
                <w:highlight w:val="none"/>
              </w:rPr>
              <w:t>公司资质及各类生产、经营许可</w:t>
            </w:r>
          </w:p>
        </w:tc>
      </w:tr>
      <w:tr w14:paraId="0A0CD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63" w:hRule="atLeast"/>
          <w:jc w:val="center"/>
        </w:trPr>
        <w:tc>
          <w:tcPr>
            <w:tcW w:w="9179" w:type="dxa"/>
            <w:gridSpan w:val="6"/>
            <w:vAlign w:val="center"/>
          </w:tcPr>
          <w:p w14:paraId="68D68DDA">
            <w:pPr>
              <w:widowControl/>
              <w:rPr>
                <w:rFonts w:hint="eastAsia" w:ascii="宋体" w:hAnsi="宋体"/>
                <w:color w:val="auto"/>
                <w:sz w:val="24"/>
                <w:highlight w:val="none"/>
              </w:rPr>
            </w:pPr>
            <w:r>
              <w:rPr>
                <w:rFonts w:hint="eastAsia" w:ascii="宋体" w:hAnsi="宋体"/>
                <w:color w:val="auto"/>
                <w:sz w:val="24"/>
                <w:highlight w:val="none"/>
              </w:rPr>
              <w:t>如：工程类资质（工程单位）、设备制造商、经销商（生产、经营许可证、产品认证）、其它资质。</w:t>
            </w:r>
          </w:p>
        </w:tc>
      </w:tr>
      <w:tr w14:paraId="758E6F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367" w:type="dxa"/>
            <w:vAlign w:val="center"/>
          </w:tcPr>
          <w:p w14:paraId="29BD2496">
            <w:pPr>
              <w:widowControl/>
              <w:jc w:val="center"/>
              <w:rPr>
                <w:rFonts w:hint="eastAsia" w:ascii="宋体" w:hAnsi="宋体"/>
                <w:color w:val="auto"/>
                <w:sz w:val="24"/>
                <w:highlight w:val="none"/>
              </w:rPr>
            </w:pPr>
            <w:r>
              <w:rPr>
                <w:rFonts w:hint="eastAsia" w:ascii="宋体" w:hAnsi="宋体"/>
                <w:color w:val="auto"/>
                <w:sz w:val="24"/>
                <w:highlight w:val="none"/>
              </w:rPr>
              <w:t>备注</w:t>
            </w:r>
          </w:p>
        </w:tc>
        <w:tc>
          <w:tcPr>
            <w:tcW w:w="7812" w:type="dxa"/>
            <w:gridSpan w:val="5"/>
            <w:vAlign w:val="center"/>
          </w:tcPr>
          <w:p w14:paraId="58314770">
            <w:pPr>
              <w:widowControl/>
              <w:jc w:val="center"/>
              <w:rPr>
                <w:rFonts w:hint="eastAsia" w:ascii="宋体" w:hAnsi="宋体"/>
                <w:color w:val="auto"/>
                <w:sz w:val="24"/>
                <w:highlight w:val="none"/>
              </w:rPr>
            </w:pPr>
          </w:p>
        </w:tc>
      </w:tr>
    </w:tbl>
    <w:p w14:paraId="7451A29C">
      <w:pPr>
        <w:rPr>
          <w:color w:val="auto"/>
          <w:highlight w:val="none"/>
        </w:rPr>
      </w:pPr>
    </w:p>
    <w:p w14:paraId="7AD82464">
      <w:pPr>
        <w:pStyle w:val="19"/>
        <w:rPr>
          <w:rFonts w:hint="eastAsia"/>
          <w:b/>
          <w:bCs/>
          <w:color w:val="auto"/>
          <w:highlight w:val="none"/>
        </w:rPr>
      </w:pPr>
      <w:bookmarkStart w:id="86" w:name="_Toc141099654"/>
      <w:bookmarkStart w:id="87" w:name="_Toc213141104"/>
      <w:bookmarkStart w:id="88" w:name="_Toc13665004"/>
      <w:bookmarkStart w:id="89" w:name="_Toc101004096"/>
      <w:bookmarkStart w:id="90" w:name="_Toc493600016"/>
      <w:bookmarkStart w:id="91" w:name="_Toc13445"/>
      <w:r>
        <w:rPr>
          <w:rFonts w:hint="eastAsia"/>
          <w:b/>
          <w:bCs/>
          <w:color w:val="auto"/>
          <w:highlight w:val="none"/>
        </w:rPr>
        <w:t>附营业执照</w:t>
      </w:r>
      <w:bookmarkEnd w:id="86"/>
      <w:bookmarkEnd w:id="87"/>
      <w:bookmarkEnd w:id="88"/>
      <w:bookmarkEnd w:id="89"/>
      <w:bookmarkEnd w:id="90"/>
      <w:r>
        <w:rPr>
          <w:rFonts w:hint="eastAsia"/>
          <w:b/>
          <w:bCs/>
          <w:color w:val="auto"/>
          <w:highlight w:val="none"/>
        </w:rPr>
        <w:t>或身份证明文件</w:t>
      </w:r>
      <w:bookmarkEnd w:id="91"/>
    </w:p>
    <w:p w14:paraId="50F91BEB">
      <w:pPr>
        <w:rPr>
          <w:rFonts w:ascii="宋体"/>
          <w:color w:val="auto"/>
          <w:sz w:val="24"/>
          <w:highlight w:val="none"/>
        </w:rPr>
      </w:pPr>
      <w:r>
        <w:rPr>
          <w:rFonts w:hint="eastAsia" w:ascii="宋体" w:hAnsi="宋体"/>
          <w:color w:val="auto"/>
          <w:sz w:val="24"/>
          <w:highlight w:val="none"/>
        </w:rPr>
        <w:t>投标人根据自身实际情况提供下述证明材料之一：</w:t>
      </w:r>
    </w:p>
    <w:p w14:paraId="7FB0EF7E">
      <w:pPr>
        <w:spacing w:line="360" w:lineRule="auto"/>
        <w:jc w:val="left"/>
        <w:rPr>
          <w:rFonts w:ascii="宋体"/>
          <w:color w:val="auto"/>
          <w:sz w:val="24"/>
          <w:highlight w:val="none"/>
        </w:rPr>
      </w:pPr>
      <w:r>
        <w:rPr>
          <w:rFonts w:ascii="宋体" w:hAnsi="宋体"/>
          <w:color w:val="auto"/>
          <w:sz w:val="24"/>
          <w:highlight w:val="none"/>
        </w:rPr>
        <w:t>1</w:t>
      </w:r>
      <w:r>
        <w:rPr>
          <w:rFonts w:hint="eastAsia" w:ascii="宋体" w:hAnsi="宋体"/>
          <w:color w:val="auto"/>
          <w:sz w:val="24"/>
          <w:highlight w:val="none"/>
        </w:rPr>
        <w:t>）投标人是企业（包括合伙企业）的，应提供其在市场监督管理部门注册的有效“企业法人营业执照”或“营业执照”；</w:t>
      </w:r>
    </w:p>
    <w:p w14:paraId="41E0AEE8">
      <w:pPr>
        <w:spacing w:line="360" w:lineRule="auto"/>
        <w:jc w:val="left"/>
        <w:rPr>
          <w:rFonts w:ascii="宋体"/>
          <w:color w:val="auto"/>
          <w:sz w:val="24"/>
          <w:highlight w:val="none"/>
        </w:rPr>
      </w:pPr>
      <w:r>
        <w:rPr>
          <w:rFonts w:ascii="宋体" w:hAnsi="宋体"/>
          <w:color w:val="auto"/>
          <w:sz w:val="24"/>
          <w:highlight w:val="none"/>
        </w:rPr>
        <w:t>2</w:t>
      </w:r>
      <w:r>
        <w:rPr>
          <w:rFonts w:hint="eastAsia" w:ascii="宋体" w:hAnsi="宋体"/>
          <w:color w:val="auto"/>
          <w:sz w:val="24"/>
          <w:highlight w:val="none"/>
        </w:rPr>
        <w:t>）投标人是事业单位的，应提供其有效的“事业单位法人证书”；</w:t>
      </w:r>
      <w:r>
        <w:rPr>
          <w:rFonts w:ascii="宋体" w:hAnsi="宋体"/>
          <w:color w:val="auto"/>
          <w:sz w:val="24"/>
          <w:highlight w:val="none"/>
        </w:rPr>
        <w:t xml:space="preserve"> </w:t>
      </w:r>
    </w:p>
    <w:p w14:paraId="63A2D71E">
      <w:pPr>
        <w:spacing w:line="360" w:lineRule="auto"/>
        <w:jc w:val="left"/>
        <w:rPr>
          <w:rFonts w:asci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）投标人是个体工商户的，应提供其有效的“个体工商户营业执照”；</w:t>
      </w:r>
      <w:r>
        <w:rPr>
          <w:rFonts w:ascii="宋体" w:hAnsi="宋体"/>
          <w:color w:val="auto"/>
          <w:sz w:val="24"/>
          <w:highlight w:val="none"/>
        </w:rPr>
        <w:t xml:space="preserve"> </w:t>
      </w:r>
    </w:p>
    <w:p w14:paraId="792375C2">
      <w:pPr>
        <w:spacing w:line="360" w:lineRule="auto"/>
        <w:jc w:val="left"/>
        <w:rPr>
          <w:rFonts w:asci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）投标人是自然人的，应提供其有效的自然人身份证明；</w:t>
      </w:r>
    </w:p>
    <w:p w14:paraId="606987D7">
      <w:pPr>
        <w:spacing w:line="360" w:lineRule="auto"/>
        <w:jc w:val="left"/>
        <w:rPr>
          <w:rFonts w:hint="eastAsia"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）其他。</w:t>
      </w:r>
    </w:p>
    <w:p w14:paraId="4B8D2064">
      <w:pPr>
        <w:widowControl/>
        <w:jc w:val="left"/>
        <w:rPr>
          <w:rFonts w:hint="eastAsia" w:ascii="宋体" w:hAnsi="宋体"/>
          <w:color w:val="auto"/>
          <w:sz w:val="24"/>
          <w:highlight w:val="none"/>
        </w:rPr>
      </w:pPr>
      <w:r>
        <w:rPr>
          <w:rFonts w:hAnsi="宋体"/>
          <w:color w:val="auto"/>
          <w:sz w:val="24"/>
          <w:highlight w:val="none"/>
        </w:rPr>
        <w:br w:type="page"/>
      </w:r>
    </w:p>
    <w:p w14:paraId="00207BA4">
      <w:pPr>
        <w:pStyle w:val="5"/>
        <w:rPr>
          <w:color w:val="auto"/>
          <w:highlight w:val="none"/>
        </w:rPr>
      </w:pPr>
      <w:bookmarkStart w:id="92" w:name="_Toc28941"/>
      <w:bookmarkStart w:id="93" w:name="_Toc101004097"/>
      <w:bookmarkStart w:id="94" w:name="_Toc13665006"/>
      <w:bookmarkStart w:id="95" w:name="_Toc141099655"/>
      <w:bookmarkStart w:id="96" w:name="_Toc493600018"/>
      <w:r>
        <w:rPr>
          <w:rFonts w:hint="eastAsia"/>
          <w:color w:val="auto"/>
          <w:highlight w:val="none"/>
        </w:rPr>
        <w:t>（二）</w:t>
      </w:r>
      <w:bookmarkEnd w:id="92"/>
      <w:bookmarkEnd w:id="93"/>
      <w:bookmarkEnd w:id="94"/>
      <w:bookmarkEnd w:id="95"/>
      <w:bookmarkEnd w:id="96"/>
      <w:bookmarkStart w:id="97" w:name="_Toc12732"/>
      <w:bookmarkStart w:id="98" w:name="_Toc141099657"/>
      <w:bookmarkStart w:id="99" w:name="_Toc13665008"/>
      <w:bookmarkStart w:id="100" w:name="_Toc493600020"/>
      <w:bookmarkStart w:id="101" w:name="_Toc101004099"/>
      <w:r>
        <w:rPr>
          <w:rFonts w:hint="eastAsia"/>
          <w:color w:val="auto"/>
          <w:highlight w:val="none"/>
        </w:rPr>
        <w:t>投标人财务状况报告</w:t>
      </w:r>
      <w:bookmarkEnd w:id="97"/>
      <w:bookmarkEnd w:id="98"/>
      <w:bookmarkEnd w:id="99"/>
      <w:bookmarkEnd w:id="100"/>
      <w:bookmarkEnd w:id="101"/>
    </w:p>
    <w:p w14:paraId="7933F7D9">
      <w:pPr>
        <w:pStyle w:val="19"/>
        <w:rPr>
          <w:rFonts w:hint="eastAsia"/>
          <w:color w:val="auto"/>
          <w:highlight w:val="none"/>
        </w:rPr>
      </w:pPr>
      <w:r>
        <w:rPr>
          <w:rFonts w:hint="eastAsia"/>
          <w:color w:val="auto"/>
          <w:highlight w:val="none"/>
        </w:rPr>
        <w:t>投标人具有良好的商业信誉和健全的财务会计制度，证明材料可为以下三者之一：</w:t>
      </w:r>
    </w:p>
    <w:p w14:paraId="59B845A7">
      <w:pPr>
        <w:pStyle w:val="19"/>
        <w:rPr>
          <w:rFonts w:hint="eastAsia"/>
          <w:color w:val="auto"/>
          <w:highlight w:val="none"/>
        </w:rPr>
      </w:pPr>
      <w:r>
        <w:rPr>
          <w:rFonts w:hint="eastAsia"/>
          <w:color w:val="auto"/>
          <w:highlight w:val="none"/>
        </w:rPr>
        <w:t>1）202</w:t>
      </w:r>
      <w:r>
        <w:rPr>
          <w:color w:val="auto"/>
          <w:highlight w:val="none"/>
        </w:rPr>
        <w:t>2</w:t>
      </w:r>
      <w:r>
        <w:rPr>
          <w:rFonts w:hint="eastAsia"/>
          <w:color w:val="auto"/>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w:t>
      </w:r>
    </w:p>
    <w:p w14:paraId="0D550FA2">
      <w:pPr>
        <w:pStyle w:val="19"/>
        <w:rPr>
          <w:rFonts w:hint="eastAsia"/>
          <w:color w:val="auto"/>
          <w:highlight w:val="none"/>
        </w:rPr>
      </w:pPr>
      <w:r>
        <w:rPr>
          <w:rFonts w:hint="eastAsia"/>
          <w:color w:val="auto"/>
          <w:highlight w:val="none"/>
        </w:rPr>
        <w:t>2）自投标文件提交截止时间前三个月内基本开户银行出具的资信证明（扫描件）。</w:t>
      </w:r>
    </w:p>
    <w:p w14:paraId="134565EA">
      <w:pPr>
        <w:pStyle w:val="19"/>
        <w:rPr>
          <w:rFonts w:hint="eastAsia"/>
          <w:b/>
          <w:color w:val="auto"/>
          <w:sz w:val="28"/>
          <w:szCs w:val="28"/>
          <w:highlight w:val="none"/>
        </w:rPr>
      </w:pPr>
      <w:r>
        <w:rPr>
          <w:rFonts w:hint="eastAsia"/>
          <w:color w:val="auto"/>
          <w:highlight w:val="none"/>
        </w:rPr>
        <w:t>3）财政部门认可的政府采购专业担保机构出具的投标担保函，须同时提供专业担保机构经财政部门认可的证明文件。</w:t>
      </w:r>
    </w:p>
    <w:p w14:paraId="68636DFD">
      <w:pPr>
        <w:pStyle w:val="19"/>
        <w:rPr>
          <w:rFonts w:hint="eastAsia"/>
          <w:color w:val="auto"/>
          <w:highlight w:val="none"/>
        </w:rPr>
      </w:pPr>
    </w:p>
    <w:p w14:paraId="497F74A7">
      <w:pPr>
        <w:pStyle w:val="19"/>
        <w:rPr>
          <w:rFonts w:hint="eastAsia"/>
          <w:color w:val="auto"/>
          <w:highlight w:val="none"/>
        </w:rPr>
      </w:pPr>
      <w:r>
        <w:rPr>
          <w:color w:val="auto"/>
          <w:highlight w:val="none"/>
        </w:rPr>
        <w:t xml:space="preserve"> </w:t>
      </w:r>
    </w:p>
    <w:p w14:paraId="39AAFA2B">
      <w:pPr>
        <w:widowControl/>
        <w:jc w:val="left"/>
        <w:rPr>
          <w:rFonts w:hint="eastAsia" w:ascii="宋体" w:hAnsi="宋体"/>
          <w:b/>
          <w:color w:val="auto"/>
          <w:kern w:val="0"/>
          <w:sz w:val="32"/>
          <w:szCs w:val="32"/>
          <w:highlight w:val="none"/>
        </w:rPr>
      </w:pPr>
      <w:bookmarkStart w:id="102" w:name="_Toc141099658"/>
      <w:bookmarkStart w:id="103" w:name="_Toc101004100"/>
      <w:bookmarkStart w:id="104" w:name="_Toc493600021"/>
      <w:bookmarkStart w:id="105" w:name="_Toc13665009"/>
      <w:r>
        <w:rPr>
          <w:rFonts w:ascii="宋体" w:hAnsi="宋体"/>
          <w:color w:val="auto"/>
          <w:sz w:val="32"/>
          <w:szCs w:val="32"/>
          <w:highlight w:val="none"/>
        </w:rPr>
        <w:br w:type="page"/>
      </w:r>
    </w:p>
    <w:p w14:paraId="6F4C12BE">
      <w:pPr>
        <w:pStyle w:val="5"/>
        <w:rPr>
          <w:color w:val="auto"/>
          <w:highlight w:val="none"/>
        </w:rPr>
      </w:pPr>
      <w:bookmarkStart w:id="106" w:name="_Toc16363"/>
      <w:r>
        <w:rPr>
          <w:rFonts w:hint="eastAsia"/>
          <w:color w:val="auto"/>
          <w:highlight w:val="none"/>
        </w:rPr>
        <w:t>（三）投标人依法缴纳税收的证明材料</w:t>
      </w:r>
      <w:bookmarkEnd w:id="102"/>
      <w:bookmarkEnd w:id="103"/>
      <w:bookmarkEnd w:id="104"/>
      <w:bookmarkEnd w:id="105"/>
      <w:bookmarkEnd w:id="106"/>
    </w:p>
    <w:p w14:paraId="5477FC08">
      <w:pPr>
        <w:pStyle w:val="19"/>
        <w:rPr>
          <w:rFonts w:hint="eastAsia"/>
          <w:color w:val="auto"/>
          <w:highlight w:val="none"/>
        </w:rPr>
      </w:pPr>
      <w:r>
        <w:rPr>
          <w:color w:val="auto"/>
          <w:highlight w:val="none"/>
        </w:rPr>
        <w:t xml:space="preserve"> </w:t>
      </w:r>
    </w:p>
    <w:p w14:paraId="1A0CA63C">
      <w:pPr>
        <w:widowControl/>
        <w:jc w:val="left"/>
        <w:rPr>
          <w:rFonts w:hint="eastAsia" w:ascii="宋体" w:hAnsi="宋体"/>
          <w:b/>
          <w:color w:val="auto"/>
          <w:kern w:val="0"/>
          <w:sz w:val="32"/>
          <w:szCs w:val="32"/>
          <w:highlight w:val="none"/>
        </w:rPr>
      </w:pPr>
      <w:bookmarkStart w:id="107" w:name="_Toc493600022"/>
      <w:bookmarkStart w:id="108" w:name="_Toc13665010"/>
      <w:bookmarkStart w:id="109" w:name="_Toc101004101"/>
      <w:bookmarkStart w:id="110" w:name="_Toc141099659"/>
      <w:r>
        <w:rPr>
          <w:rFonts w:ascii="宋体" w:hAnsi="宋体"/>
          <w:color w:val="auto"/>
          <w:sz w:val="32"/>
          <w:szCs w:val="32"/>
          <w:highlight w:val="none"/>
        </w:rPr>
        <w:br w:type="page"/>
      </w:r>
    </w:p>
    <w:p w14:paraId="725211C7">
      <w:pPr>
        <w:pStyle w:val="5"/>
        <w:rPr>
          <w:color w:val="auto"/>
          <w:highlight w:val="none"/>
        </w:rPr>
      </w:pPr>
      <w:bookmarkStart w:id="111" w:name="_Toc11722"/>
      <w:r>
        <w:rPr>
          <w:rFonts w:hint="eastAsia"/>
          <w:color w:val="auto"/>
          <w:highlight w:val="none"/>
        </w:rPr>
        <w:t>（四）投标人依法缴纳社会保障资金的证明材料</w:t>
      </w:r>
      <w:bookmarkEnd w:id="107"/>
      <w:bookmarkEnd w:id="108"/>
      <w:bookmarkEnd w:id="109"/>
      <w:bookmarkEnd w:id="110"/>
      <w:bookmarkEnd w:id="111"/>
    </w:p>
    <w:p w14:paraId="5180F228">
      <w:pPr>
        <w:pStyle w:val="19"/>
        <w:rPr>
          <w:rFonts w:hint="eastAsia"/>
          <w:color w:val="auto"/>
          <w:highlight w:val="none"/>
        </w:rPr>
      </w:pPr>
      <w:r>
        <w:rPr>
          <w:color w:val="auto"/>
          <w:highlight w:val="none"/>
        </w:rPr>
        <w:t xml:space="preserve"> </w:t>
      </w:r>
    </w:p>
    <w:p w14:paraId="5AD6D3E7">
      <w:pPr>
        <w:widowControl/>
        <w:jc w:val="left"/>
        <w:rPr>
          <w:rFonts w:hint="eastAsia" w:ascii="宋体" w:hAnsi="宋体"/>
          <w:b/>
          <w:color w:val="auto"/>
          <w:kern w:val="0"/>
          <w:sz w:val="32"/>
          <w:szCs w:val="32"/>
          <w:highlight w:val="none"/>
        </w:rPr>
      </w:pPr>
      <w:bookmarkStart w:id="112" w:name="_Toc13665011"/>
      <w:bookmarkStart w:id="113" w:name="_Toc493600023"/>
      <w:bookmarkStart w:id="114" w:name="_Toc101004102"/>
      <w:bookmarkStart w:id="115" w:name="_Toc141099660"/>
      <w:r>
        <w:rPr>
          <w:rFonts w:ascii="宋体" w:hAnsi="宋体"/>
          <w:color w:val="auto"/>
          <w:sz w:val="32"/>
          <w:szCs w:val="32"/>
          <w:highlight w:val="none"/>
        </w:rPr>
        <w:br w:type="page"/>
      </w:r>
    </w:p>
    <w:p w14:paraId="7E8C29EB">
      <w:pPr>
        <w:pStyle w:val="5"/>
        <w:rPr>
          <w:color w:val="auto"/>
          <w:highlight w:val="none"/>
        </w:rPr>
      </w:pPr>
      <w:bookmarkStart w:id="116" w:name="_Toc19864"/>
      <w:r>
        <w:rPr>
          <w:rFonts w:hint="eastAsia"/>
          <w:color w:val="auto"/>
          <w:highlight w:val="none"/>
        </w:rPr>
        <w:t>（五）投标人具备履行合同所必需的设备和专业技术能力的证明材料</w:t>
      </w:r>
      <w:bookmarkEnd w:id="112"/>
      <w:bookmarkEnd w:id="113"/>
      <w:r>
        <w:rPr>
          <w:rFonts w:hint="eastAsia"/>
          <w:color w:val="auto"/>
          <w:highlight w:val="none"/>
        </w:rPr>
        <w:t>或承诺函</w:t>
      </w:r>
      <w:bookmarkEnd w:id="114"/>
      <w:bookmarkEnd w:id="115"/>
      <w:bookmarkEnd w:id="116"/>
    </w:p>
    <w:p w14:paraId="623116E1">
      <w:pPr>
        <w:pStyle w:val="19"/>
        <w:rPr>
          <w:rFonts w:hint="eastAsia"/>
          <w:color w:val="auto"/>
          <w:highlight w:val="none"/>
        </w:rPr>
      </w:pPr>
    </w:p>
    <w:p w14:paraId="10478EFB">
      <w:pPr>
        <w:pStyle w:val="19"/>
        <w:rPr>
          <w:rFonts w:hint="eastAsia"/>
          <w:color w:val="auto"/>
          <w:highlight w:val="none"/>
        </w:rPr>
      </w:pPr>
      <w:r>
        <w:rPr>
          <w:color w:val="auto"/>
          <w:highlight w:val="none"/>
        </w:rPr>
        <w:t xml:space="preserve"> </w:t>
      </w:r>
    </w:p>
    <w:p w14:paraId="2444F379">
      <w:pPr>
        <w:widowControl/>
        <w:jc w:val="left"/>
        <w:rPr>
          <w:rFonts w:hint="eastAsia" w:ascii="宋体" w:hAnsi="宋体"/>
          <w:b/>
          <w:color w:val="auto"/>
          <w:kern w:val="0"/>
          <w:sz w:val="32"/>
          <w:szCs w:val="32"/>
          <w:highlight w:val="none"/>
        </w:rPr>
      </w:pPr>
      <w:bookmarkStart w:id="117" w:name="_Toc493600024"/>
      <w:bookmarkStart w:id="118" w:name="_Toc101004103"/>
      <w:bookmarkStart w:id="119" w:name="_Toc141099661"/>
      <w:bookmarkStart w:id="120" w:name="_Toc13665012"/>
      <w:r>
        <w:rPr>
          <w:rFonts w:ascii="宋体" w:hAnsi="宋体"/>
          <w:color w:val="auto"/>
          <w:sz w:val="32"/>
          <w:szCs w:val="32"/>
          <w:highlight w:val="none"/>
        </w:rPr>
        <w:br w:type="page"/>
      </w:r>
    </w:p>
    <w:p w14:paraId="043D3CF5">
      <w:pPr>
        <w:pStyle w:val="5"/>
        <w:rPr>
          <w:color w:val="auto"/>
          <w:highlight w:val="none"/>
        </w:rPr>
      </w:pPr>
      <w:bookmarkStart w:id="121" w:name="_Toc23010"/>
      <w:r>
        <w:rPr>
          <w:rFonts w:hint="eastAsia"/>
          <w:color w:val="auto"/>
          <w:highlight w:val="none"/>
        </w:rPr>
        <w:t>（六）参加政府采购活动前3年内在经营活动中没有重大违法记录的书面声明</w:t>
      </w:r>
      <w:bookmarkEnd w:id="117"/>
      <w:bookmarkEnd w:id="118"/>
      <w:bookmarkEnd w:id="119"/>
      <w:bookmarkEnd w:id="120"/>
      <w:bookmarkEnd w:id="121"/>
    </w:p>
    <w:p w14:paraId="3C5827DF">
      <w:pPr>
        <w:ind w:firstLine="4410" w:firstLineChars="2100"/>
        <w:rPr>
          <w:rFonts w:hint="eastAsia" w:ascii="宋体" w:hAnsi="宋体"/>
          <w:color w:val="auto"/>
          <w:highlight w:val="none"/>
        </w:rPr>
      </w:pPr>
    </w:p>
    <w:p w14:paraId="1CFE5794">
      <w:pPr>
        <w:ind w:firstLine="4410" w:firstLineChars="2100"/>
        <w:rPr>
          <w:rFonts w:hint="eastAsia" w:ascii="宋体" w:hAnsi="宋体"/>
          <w:color w:val="auto"/>
          <w:highlight w:val="none"/>
        </w:rPr>
      </w:pPr>
    </w:p>
    <w:p w14:paraId="647279C4">
      <w:pPr>
        <w:jc w:val="center"/>
        <w:rPr>
          <w:rFonts w:hint="eastAsia" w:ascii="宋体" w:hAnsi="宋体"/>
          <w:color w:val="auto"/>
          <w:highlight w:val="none"/>
        </w:rPr>
      </w:pPr>
      <w:r>
        <w:rPr>
          <w:rFonts w:hint="eastAsia" w:ascii="宋体" w:hAnsi="宋体"/>
          <w:color w:val="auto"/>
          <w:sz w:val="24"/>
          <w:highlight w:val="none"/>
        </w:rPr>
        <w:t>（投标自行承诺及说明，内容自拟）</w:t>
      </w:r>
    </w:p>
    <w:p w14:paraId="16B64C77">
      <w:pPr>
        <w:spacing w:line="360" w:lineRule="auto"/>
        <w:jc w:val="left"/>
        <w:rPr>
          <w:rFonts w:hint="eastAsia" w:ascii="宋体" w:hAnsi="宋体"/>
          <w:color w:val="auto"/>
          <w:sz w:val="24"/>
          <w:highlight w:val="none"/>
        </w:rPr>
      </w:pPr>
    </w:p>
    <w:p w14:paraId="6AA03929">
      <w:pPr>
        <w:spacing w:line="360" w:lineRule="auto"/>
        <w:jc w:val="left"/>
        <w:rPr>
          <w:rFonts w:hint="eastAsia" w:ascii="宋体" w:hAnsi="宋体"/>
          <w:color w:val="auto"/>
          <w:sz w:val="24"/>
          <w:highlight w:val="none"/>
        </w:rPr>
      </w:pPr>
    </w:p>
    <w:p w14:paraId="1FBDC21F">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4DCCEC23">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498BE27E">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167CC535">
      <w:pPr>
        <w:spacing w:line="360" w:lineRule="auto"/>
        <w:jc w:val="left"/>
        <w:rPr>
          <w:rFonts w:hint="eastAsia" w:ascii="宋体" w:hAnsi="宋体"/>
          <w:color w:val="auto"/>
          <w:sz w:val="24"/>
          <w:highlight w:val="none"/>
        </w:rPr>
      </w:pPr>
    </w:p>
    <w:p w14:paraId="4BA63607">
      <w:pPr>
        <w:spacing w:line="360" w:lineRule="auto"/>
        <w:ind w:left="3541" w:leftChars="1686"/>
        <w:jc w:val="left"/>
        <w:rPr>
          <w:rFonts w:hint="eastAsia" w:ascii="宋体" w:hAnsi="宋体"/>
          <w:color w:val="auto"/>
          <w:sz w:val="24"/>
          <w:highlight w:val="none"/>
          <w:u w:val="single"/>
        </w:rPr>
      </w:pPr>
    </w:p>
    <w:p w14:paraId="42739817">
      <w:pPr>
        <w:spacing w:line="360" w:lineRule="auto"/>
        <w:jc w:val="left"/>
        <w:rPr>
          <w:rFonts w:hint="eastAsia" w:ascii="宋体" w:hAnsi="宋体"/>
          <w:color w:val="auto"/>
          <w:sz w:val="24"/>
          <w:highlight w:val="none"/>
        </w:rPr>
      </w:pPr>
    </w:p>
    <w:p w14:paraId="679E7342">
      <w:pPr>
        <w:spacing w:line="360" w:lineRule="auto"/>
        <w:jc w:val="left"/>
        <w:rPr>
          <w:rFonts w:hint="eastAsia" w:ascii="宋体" w:hAnsi="宋体"/>
          <w:b/>
          <w:color w:val="auto"/>
          <w:sz w:val="24"/>
          <w:highlight w:val="none"/>
        </w:rPr>
      </w:pPr>
      <w:r>
        <w:rPr>
          <w:rFonts w:hint="eastAsia" w:ascii="宋体" w:hAnsi="宋体"/>
          <w:b/>
          <w:color w:val="auto"/>
          <w:sz w:val="24"/>
          <w:highlight w:val="none"/>
        </w:rPr>
        <w:t>注：</w:t>
      </w:r>
    </w:p>
    <w:p w14:paraId="44B8A110">
      <w:pPr>
        <w:spacing w:line="360" w:lineRule="auto"/>
        <w:jc w:val="left"/>
        <w:rPr>
          <w:rFonts w:hint="eastAsia" w:ascii="宋体" w:hAnsi="宋体"/>
          <w:b/>
          <w:color w:val="auto"/>
          <w:sz w:val="24"/>
          <w:highlight w:val="none"/>
        </w:rPr>
      </w:pPr>
      <w:r>
        <w:rPr>
          <w:rFonts w:hint="eastAsia" w:ascii="宋体" w:hAnsi="宋体"/>
          <w:b/>
          <w:color w:val="auto"/>
          <w:sz w:val="24"/>
          <w:highlight w:val="none"/>
        </w:rPr>
        <w:t>1、重大违法记录，是指供应商因违法经营受到刑事处罚或者责令停产停业、吊销许可证或者执照、较大数额罚款等行政处罚。</w:t>
      </w:r>
    </w:p>
    <w:p w14:paraId="7A07C6D7">
      <w:pPr>
        <w:widowControl/>
        <w:jc w:val="left"/>
        <w:rPr>
          <w:rFonts w:hint="eastAsia" w:ascii="宋体" w:hAnsi="宋体"/>
          <w:color w:val="auto"/>
          <w:sz w:val="24"/>
          <w:highlight w:val="none"/>
        </w:rPr>
      </w:pPr>
      <w:r>
        <w:rPr>
          <w:rFonts w:ascii="宋体" w:hAnsi="宋体"/>
          <w:color w:val="auto"/>
          <w:sz w:val="24"/>
          <w:highlight w:val="none"/>
        </w:rPr>
        <w:br w:type="page"/>
      </w:r>
    </w:p>
    <w:p w14:paraId="176412C1">
      <w:pPr>
        <w:pStyle w:val="5"/>
        <w:rPr>
          <w:color w:val="auto"/>
          <w:sz w:val="21"/>
          <w:szCs w:val="21"/>
          <w:highlight w:val="none"/>
        </w:rPr>
      </w:pPr>
      <w:bookmarkStart w:id="122" w:name="_Toc14870"/>
      <w:r>
        <w:rPr>
          <w:rFonts w:hint="eastAsia"/>
          <w:color w:val="auto"/>
          <w:highlight w:val="none"/>
        </w:rPr>
        <w:t>（七）信誉说明</w:t>
      </w:r>
    </w:p>
    <w:p w14:paraId="75303846">
      <w:pPr>
        <w:spacing w:line="360" w:lineRule="auto"/>
        <w:rPr>
          <w:color w:val="auto"/>
          <w:sz w:val="24"/>
          <w:highlight w:val="none"/>
          <w:u w:val="single"/>
        </w:rPr>
      </w:pPr>
      <w:r>
        <w:rPr>
          <w:color w:val="auto"/>
          <w:sz w:val="24"/>
          <w:highlight w:val="none"/>
        </w:rPr>
        <w:t>致</w:t>
      </w:r>
      <w:r>
        <w:rPr>
          <w:rFonts w:hint="eastAsia"/>
          <w:color w:val="auto"/>
          <w:sz w:val="24"/>
          <w:highlight w:val="none"/>
        </w:rPr>
        <w:t>：</w:t>
      </w:r>
      <w:r>
        <w:rPr>
          <w:rFonts w:hint="eastAsia"/>
          <w:color w:val="auto"/>
          <w:sz w:val="24"/>
          <w:highlight w:val="none"/>
          <w:u w:val="single"/>
        </w:rPr>
        <w:t xml:space="preserve">   （采购人名称）   </w:t>
      </w:r>
    </w:p>
    <w:p w14:paraId="55EBBE2E">
      <w:pPr>
        <w:spacing w:line="360" w:lineRule="auto"/>
        <w:ind w:firstLine="420"/>
        <w:rPr>
          <w:color w:val="auto"/>
          <w:sz w:val="24"/>
          <w:highlight w:val="none"/>
        </w:rPr>
      </w:pPr>
      <w:r>
        <w:rPr>
          <w:color w:val="auto"/>
          <w:sz w:val="24"/>
          <w:highlight w:val="none"/>
        </w:rPr>
        <w:t>我公司参加贵单位组织的</w:t>
      </w:r>
      <w:r>
        <w:rPr>
          <w:rFonts w:hint="eastAsia"/>
          <w:color w:val="auto"/>
          <w:sz w:val="24"/>
          <w:highlight w:val="none"/>
          <w:u w:val="single"/>
        </w:rPr>
        <w:t xml:space="preserve"> </w:t>
      </w:r>
      <w:r>
        <w:rPr>
          <w:rFonts w:hint="eastAsia"/>
          <w:color w:val="auto"/>
          <w:sz w:val="24"/>
          <w:highlight w:val="none"/>
          <w:u w:val="single"/>
          <w:lang w:eastAsia="zh-CN"/>
        </w:rPr>
        <w:t>怒江州中医医院心肺康复设备采购项目</w:t>
      </w:r>
      <w:r>
        <w:rPr>
          <w:rFonts w:hint="eastAsia"/>
          <w:color w:val="auto"/>
          <w:sz w:val="24"/>
          <w:highlight w:val="none"/>
          <w:u w:val="single"/>
        </w:rPr>
        <w:t xml:space="preserve"> </w:t>
      </w:r>
      <w:r>
        <w:rPr>
          <w:rFonts w:hint="eastAsia"/>
          <w:color w:val="auto"/>
          <w:sz w:val="24"/>
          <w:highlight w:val="none"/>
        </w:rPr>
        <w:t>公开招标采购活动，我公司同意招标文件中信用记录查询的规定。</w:t>
      </w:r>
    </w:p>
    <w:p w14:paraId="4FEBC227">
      <w:pPr>
        <w:spacing w:line="360" w:lineRule="auto"/>
        <w:jc w:val="left"/>
        <w:rPr>
          <w:rFonts w:hint="eastAsia" w:ascii="宋体" w:hAnsi="宋体"/>
          <w:color w:val="auto"/>
          <w:sz w:val="24"/>
          <w:highlight w:val="none"/>
        </w:rPr>
      </w:pPr>
    </w:p>
    <w:p w14:paraId="22842B09">
      <w:pPr>
        <w:spacing w:line="360" w:lineRule="auto"/>
        <w:jc w:val="left"/>
        <w:rPr>
          <w:rFonts w:hint="eastAsia" w:ascii="宋体" w:hAnsi="宋体"/>
          <w:color w:val="auto"/>
          <w:sz w:val="24"/>
          <w:highlight w:val="none"/>
        </w:rPr>
      </w:pPr>
    </w:p>
    <w:p w14:paraId="4373BC14">
      <w:pPr>
        <w:spacing w:line="360" w:lineRule="auto"/>
        <w:ind w:firstLine="420"/>
        <w:rPr>
          <w:color w:val="auto"/>
          <w:sz w:val="24"/>
          <w:highlight w:val="none"/>
        </w:rPr>
      </w:pPr>
      <w:r>
        <w:rPr>
          <w:rFonts w:hint="eastAsia"/>
          <w:color w:val="auto"/>
          <w:sz w:val="24"/>
          <w:highlight w:val="none"/>
        </w:rPr>
        <w:t>供应商：（加盖电子公章）</w:t>
      </w:r>
    </w:p>
    <w:p w14:paraId="4A0333DD">
      <w:pPr>
        <w:spacing w:line="360" w:lineRule="auto"/>
        <w:ind w:firstLine="420"/>
        <w:rPr>
          <w:color w:val="auto"/>
          <w:sz w:val="24"/>
          <w:highlight w:val="none"/>
        </w:rPr>
      </w:pPr>
      <w:r>
        <w:rPr>
          <w:rFonts w:hint="eastAsia"/>
          <w:color w:val="auto"/>
          <w:sz w:val="24"/>
          <w:highlight w:val="none"/>
        </w:rPr>
        <w:t>法定代表人或其委托代理人：（电子签章或签名）</w:t>
      </w:r>
    </w:p>
    <w:p w14:paraId="77E99500">
      <w:pPr>
        <w:spacing w:line="360" w:lineRule="auto"/>
        <w:ind w:firstLine="420"/>
        <w:rPr>
          <w:color w:val="auto"/>
          <w:szCs w:val="21"/>
          <w:highlight w:val="none"/>
        </w:rPr>
      </w:pPr>
      <w:r>
        <w:rPr>
          <w:rFonts w:hint="eastAsia"/>
          <w:color w:val="auto"/>
          <w:sz w:val="24"/>
          <w:highlight w:val="none"/>
        </w:rPr>
        <w:t>日期：年月日</w:t>
      </w:r>
    </w:p>
    <w:bookmarkEnd w:id="122"/>
    <w:p w14:paraId="57061A88">
      <w:pPr>
        <w:spacing w:line="320" w:lineRule="exact"/>
        <w:rPr>
          <w:rFonts w:hint="eastAsia" w:ascii="宋体" w:hAnsi="宋体"/>
          <w:b/>
          <w:color w:val="auto"/>
          <w:sz w:val="24"/>
          <w:highlight w:val="none"/>
        </w:rPr>
      </w:pPr>
    </w:p>
    <w:p w14:paraId="2034C539">
      <w:pPr>
        <w:pStyle w:val="19"/>
        <w:rPr>
          <w:rFonts w:hint="eastAsia"/>
          <w:color w:val="auto"/>
          <w:highlight w:val="none"/>
        </w:rPr>
      </w:pPr>
    </w:p>
    <w:p w14:paraId="237EF22D">
      <w:pPr>
        <w:jc w:val="center"/>
        <w:rPr>
          <w:rFonts w:hint="eastAsia" w:ascii="宋体" w:hAnsi="宋体"/>
          <w:color w:val="auto"/>
          <w:highlight w:val="none"/>
        </w:rPr>
      </w:pPr>
    </w:p>
    <w:p w14:paraId="581D735A">
      <w:pPr>
        <w:spacing w:line="360" w:lineRule="auto"/>
        <w:jc w:val="left"/>
        <w:rPr>
          <w:rFonts w:hint="eastAsia" w:ascii="宋体" w:hAnsi="宋体"/>
          <w:color w:val="auto"/>
          <w:sz w:val="24"/>
          <w:highlight w:val="none"/>
        </w:rPr>
      </w:pPr>
    </w:p>
    <w:p w14:paraId="7CDF16B6">
      <w:pPr>
        <w:spacing w:line="360" w:lineRule="auto"/>
        <w:jc w:val="left"/>
        <w:rPr>
          <w:rFonts w:hint="eastAsia" w:ascii="宋体" w:hAnsi="宋体"/>
          <w:color w:val="auto"/>
          <w:sz w:val="24"/>
          <w:highlight w:val="none"/>
        </w:rPr>
      </w:pPr>
    </w:p>
    <w:p w14:paraId="15774E37">
      <w:pPr>
        <w:spacing w:line="360" w:lineRule="auto"/>
        <w:jc w:val="left"/>
        <w:rPr>
          <w:rFonts w:hint="eastAsia" w:ascii="宋体" w:hAnsi="宋体"/>
          <w:color w:val="auto"/>
          <w:sz w:val="24"/>
          <w:highlight w:val="none"/>
        </w:rPr>
      </w:pPr>
    </w:p>
    <w:p w14:paraId="1D003E78">
      <w:pPr>
        <w:spacing w:line="360" w:lineRule="auto"/>
        <w:jc w:val="left"/>
        <w:rPr>
          <w:rFonts w:hint="eastAsia" w:ascii="宋体" w:hAnsi="宋体"/>
          <w:color w:val="auto"/>
          <w:sz w:val="24"/>
          <w:highlight w:val="none"/>
        </w:rPr>
      </w:pPr>
    </w:p>
    <w:p w14:paraId="2D6934B2">
      <w:pPr>
        <w:widowControl/>
        <w:jc w:val="left"/>
        <w:rPr>
          <w:rFonts w:eastAsia="黑体"/>
          <w:b/>
          <w:color w:val="auto"/>
          <w:kern w:val="0"/>
          <w:sz w:val="28"/>
          <w:szCs w:val="20"/>
          <w:highlight w:val="none"/>
        </w:rPr>
      </w:pPr>
      <w:bookmarkStart w:id="123" w:name="_Toc29106"/>
      <w:r>
        <w:rPr>
          <w:color w:val="auto"/>
          <w:highlight w:val="none"/>
        </w:rPr>
        <w:br w:type="page"/>
      </w:r>
    </w:p>
    <w:p w14:paraId="381765DC">
      <w:pPr>
        <w:pStyle w:val="5"/>
        <w:rPr>
          <w:color w:val="auto"/>
          <w:sz w:val="30"/>
          <w:szCs w:val="30"/>
          <w:highlight w:val="none"/>
        </w:rPr>
      </w:pPr>
      <w:r>
        <w:rPr>
          <w:rFonts w:hint="eastAsia"/>
          <w:color w:val="auto"/>
          <w:highlight w:val="none"/>
        </w:rPr>
        <w:t>（八）投标人无直接控股、管理关系书面声明函</w:t>
      </w:r>
    </w:p>
    <w:p w14:paraId="74AB708D">
      <w:pPr>
        <w:snapToGrid w:val="0"/>
        <w:spacing w:line="280" w:lineRule="exact"/>
        <w:rPr>
          <w:rFonts w:hint="eastAsia" w:ascii="宋体" w:hAnsi="宋体"/>
          <w:color w:val="auto"/>
          <w:sz w:val="24"/>
          <w:highlight w:val="none"/>
          <w:u w:val="single"/>
        </w:rPr>
      </w:pPr>
      <w:r>
        <w:rPr>
          <w:rFonts w:hint="eastAsia" w:ascii="宋体" w:hAnsi="宋体"/>
          <w:color w:val="auto"/>
          <w:sz w:val="24"/>
          <w:highlight w:val="none"/>
          <w:u w:val="single"/>
        </w:rPr>
        <w:t>（采购人名称）：</w:t>
      </w:r>
    </w:p>
    <w:p w14:paraId="7009C3EF">
      <w:pPr>
        <w:snapToGrid w:val="0"/>
        <w:spacing w:line="280" w:lineRule="exact"/>
        <w:rPr>
          <w:rFonts w:hint="eastAsia" w:ascii="宋体" w:hAnsi="宋体"/>
          <w:color w:val="auto"/>
          <w:sz w:val="24"/>
          <w:highlight w:val="none"/>
        </w:rPr>
      </w:pPr>
    </w:p>
    <w:p w14:paraId="41AEABA0">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一、下述公司负责人与我公司单位负责人为同一人：（如无则本项填写“无”）  </w:t>
      </w:r>
    </w:p>
    <w:p w14:paraId="64FAE015">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07735FFF">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70366F5C">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735AFF53">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05020A5E">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二、我公司与下述公司存在直接控股关系：（如无则本项填写“无”） </w:t>
      </w:r>
    </w:p>
    <w:p w14:paraId="3A546B53">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53A62B50">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28D885F0">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159714EB">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600A2ED8">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三、我公司与下述公司存在直接管理关系：（如无则本项填写“无”） </w:t>
      </w:r>
    </w:p>
    <w:p w14:paraId="01B40C82">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73508A40">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73D4ADD7">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411DF3F0">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35240825">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我单位郑重声明：与本单位负责人为同一人或者与本单位存在直接控股关系、管理关系的投标人未参与</w:t>
      </w:r>
      <w:r>
        <w:rPr>
          <w:rFonts w:ascii="宋体" w:hAnsi="宋体"/>
          <w:color w:val="auto"/>
          <w:sz w:val="24"/>
          <w:highlight w:val="none"/>
        </w:rPr>
        <w:t>本项目</w:t>
      </w:r>
      <w:r>
        <w:rPr>
          <w:rFonts w:hint="eastAsia" w:ascii="宋体" w:hAnsi="宋体"/>
          <w:color w:val="auto"/>
          <w:sz w:val="24"/>
          <w:highlight w:val="none"/>
        </w:rPr>
        <w:t xml:space="preserve">同一合同项下的投标。 </w:t>
      </w:r>
    </w:p>
    <w:p w14:paraId="425931A2">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我单位保证上述声明真实、有效、可查。 </w:t>
      </w:r>
    </w:p>
    <w:p w14:paraId="72D1E48C">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特此声明。 </w:t>
      </w:r>
    </w:p>
    <w:p w14:paraId="7939C0BF">
      <w:pPr>
        <w:spacing w:line="360" w:lineRule="auto"/>
        <w:rPr>
          <w:rFonts w:hint="eastAsia" w:ascii="宋体" w:hAnsi="宋体"/>
          <w:color w:val="auto"/>
          <w:sz w:val="24"/>
          <w:highlight w:val="none"/>
        </w:rPr>
      </w:pPr>
    </w:p>
    <w:p w14:paraId="37A46330">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387DEF6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5255D00E">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411B852C">
      <w:pPr>
        <w:rPr>
          <w:rFonts w:hint="eastAsia" w:ascii="宋体" w:hAnsi="宋体"/>
          <w:b/>
          <w:color w:val="auto"/>
          <w:sz w:val="24"/>
          <w:highlight w:val="none"/>
        </w:rPr>
      </w:pPr>
    </w:p>
    <w:p w14:paraId="57D0CBE3">
      <w:pPr>
        <w:spacing w:line="320" w:lineRule="exact"/>
        <w:rPr>
          <w:rFonts w:hint="eastAsia" w:ascii="宋体" w:hAnsi="宋体"/>
          <w:b/>
          <w:color w:val="auto"/>
          <w:sz w:val="24"/>
          <w:highlight w:val="none"/>
        </w:rPr>
      </w:pPr>
      <w:r>
        <w:rPr>
          <w:rFonts w:ascii="宋体" w:hAnsi="宋体"/>
          <w:b/>
          <w:color w:val="auto"/>
          <w:sz w:val="24"/>
          <w:highlight w:val="none"/>
        </w:rPr>
        <w:t>注</w:t>
      </w:r>
      <w:r>
        <w:rPr>
          <w:rFonts w:hint="eastAsia" w:ascii="宋体" w:hAnsi="宋体"/>
          <w:b/>
          <w:color w:val="auto"/>
          <w:sz w:val="24"/>
          <w:highlight w:val="none"/>
        </w:rPr>
        <w:t>：</w:t>
      </w:r>
    </w:p>
    <w:p w14:paraId="002ABAAE">
      <w:pPr>
        <w:spacing w:line="320" w:lineRule="exac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单位负责人</w:t>
      </w:r>
      <w:r>
        <w:rPr>
          <w:rFonts w:hint="eastAsia" w:ascii="宋体" w:hAnsi="宋体"/>
          <w:b/>
          <w:color w:val="auto"/>
          <w:sz w:val="24"/>
          <w:highlight w:val="none"/>
        </w:rPr>
        <w:t>，是指单位法定代表人或者法律、行政法规规定代表单位行使职权的主要负责人。</w:t>
      </w:r>
    </w:p>
    <w:p w14:paraId="02485851">
      <w:pPr>
        <w:spacing w:line="320" w:lineRule="exact"/>
        <w:rPr>
          <w:rFonts w:hint="eastAsia" w:ascii="宋体" w:hAnsi="宋体"/>
          <w:b/>
          <w:color w:val="auto"/>
          <w:sz w:val="24"/>
          <w:highlight w:val="none"/>
        </w:rPr>
      </w:pPr>
      <w:r>
        <w:rPr>
          <w:rFonts w:ascii="宋体" w:hAnsi="宋体"/>
          <w:b/>
          <w:color w:val="auto"/>
          <w:sz w:val="24"/>
          <w:highlight w:val="none"/>
        </w:rPr>
        <w:t>2</w:t>
      </w:r>
      <w:r>
        <w:rPr>
          <w:rFonts w:hint="eastAsia" w:ascii="宋体" w:hAnsi="宋体"/>
          <w:b/>
          <w:color w:val="auto"/>
          <w:sz w:val="24"/>
          <w:highlight w:val="none"/>
        </w:rPr>
        <w:t>、</w:t>
      </w:r>
      <w:r>
        <w:rPr>
          <w:rFonts w:ascii="宋体" w:hAnsi="宋体"/>
          <w:b/>
          <w:color w:val="auto"/>
          <w:sz w:val="24"/>
          <w:highlight w:val="none"/>
        </w:rPr>
        <w:t>直接控股关系</w:t>
      </w:r>
      <w:r>
        <w:rPr>
          <w:rFonts w:hint="eastAsia" w:ascii="宋体" w:hAnsi="宋体"/>
          <w:b/>
          <w:color w:val="auto"/>
          <w:sz w:val="24"/>
          <w:highlight w:val="none"/>
        </w:rPr>
        <w:t>，</w:t>
      </w:r>
      <w:r>
        <w:rPr>
          <w:rFonts w:ascii="宋体" w:hAnsi="宋体"/>
          <w:b/>
          <w:color w:val="auto"/>
          <w:sz w:val="24"/>
          <w:highlight w:val="none"/>
          <w:shd w:val="clear" w:color="auto" w:fill="FFFFFF"/>
        </w:rPr>
        <w:t>是指单位或个人股东的直接控股关系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控股股东</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r>
        <w:rPr>
          <w:rFonts w:hint="eastAsia" w:ascii="宋体" w:hAnsi="宋体"/>
          <w:b/>
          <w:color w:val="auto"/>
          <w:sz w:val="24"/>
          <w:highlight w:val="none"/>
        </w:rPr>
        <w:t>。</w:t>
      </w:r>
    </w:p>
    <w:p w14:paraId="2C70CA42">
      <w:pPr>
        <w:spacing w:line="320" w:lineRule="exact"/>
        <w:rPr>
          <w:rFonts w:hint="eastAsia" w:ascii="宋体" w:hAnsi="宋体"/>
          <w:b/>
          <w:color w:val="auto"/>
          <w:sz w:val="24"/>
          <w:highlight w:val="none"/>
          <w:shd w:val="clear" w:color="auto" w:fill="FFFFFF"/>
        </w:rPr>
      </w:pPr>
      <w:r>
        <w:rPr>
          <w:rFonts w:hint="eastAsia" w:ascii="宋体" w:hAnsi="宋体"/>
          <w:b/>
          <w:color w:val="auto"/>
          <w:sz w:val="24"/>
          <w:highlight w:val="none"/>
          <w:shd w:val="clear" w:color="auto" w:fill="FFFFFF"/>
        </w:rPr>
        <w:t>3、直接</w:t>
      </w:r>
      <w:r>
        <w:rPr>
          <w:rFonts w:ascii="宋体" w:hAnsi="宋体"/>
          <w:b/>
          <w:color w:val="auto"/>
          <w:sz w:val="24"/>
          <w:highlight w:val="none"/>
          <w:shd w:val="clear" w:color="auto" w:fill="FFFFFF"/>
        </w:rPr>
        <w:t>管理关系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是指不具有出资持股关系的其他单位之间存在的直接管理与被管理关系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如上下级关系的事业单位和团体组织</w:t>
      </w:r>
      <w:r>
        <w:rPr>
          <w:rFonts w:hint="eastAsia" w:ascii="宋体" w:hAnsi="宋体"/>
          <w:b/>
          <w:color w:val="auto"/>
          <w:sz w:val="24"/>
          <w:highlight w:val="none"/>
          <w:shd w:val="clear" w:color="auto" w:fill="FFFFFF"/>
        </w:rPr>
        <w:t>。</w:t>
      </w:r>
    </w:p>
    <w:p w14:paraId="7E0C1BFB">
      <w:pPr>
        <w:spacing w:line="360" w:lineRule="auto"/>
        <w:ind w:firstLine="420"/>
        <w:rPr>
          <w:color w:val="auto"/>
          <w:szCs w:val="21"/>
          <w:highlight w:val="none"/>
        </w:rPr>
      </w:pPr>
    </w:p>
    <w:bookmarkEnd w:id="123"/>
    <w:p w14:paraId="319A5A38">
      <w:pPr>
        <w:spacing w:line="360" w:lineRule="auto"/>
        <w:ind w:firstLine="2" w:firstLineChars="1"/>
        <w:rPr>
          <w:rFonts w:hint="eastAsia" w:ascii="宋体" w:hAnsi="宋体"/>
          <w:b/>
          <w:color w:val="auto"/>
          <w:sz w:val="24"/>
          <w:highlight w:val="none"/>
        </w:rPr>
      </w:pPr>
    </w:p>
    <w:p w14:paraId="0983D31D">
      <w:pPr>
        <w:spacing w:line="360" w:lineRule="auto"/>
        <w:jc w:val="left"/>
        <w:rPr>
          <w:rFonts w:hint="eastAsia" w:ascii="宋体" w:hAnsi="宋体"/>
          <w:color w:val="auto"/>
          <w:sz w:val="24"/>
          <w:highlight w:val="none"/>
        </w:rPr>
      </w:pPr>
    </w:p>
    <w:p w14:paraId="2146BEED">
      <w:pPr>
        <w:spacing w:line="360" w:lineRule="auto"/>
        <w:ind w:left="3541" w:leftChars="1686"/>
        <w:jc w:val="left"/>
        <w:rPr>
          <w:rFonts w:hint="eastAsia" w:ascii="宋体" w:hAnsi="宋体"/>
          <w:color w:val="auto"/>
          <w:sz w:val="24"/>
          <w:highlight w:val="none"/>
          <w:u w:val="single"/>
        </w:rPr>
      </w:pPr>
    </w:p>
    <w:p w14:paraId="32175733">
      <w:pPr>
        <w:spacing w:line="360" w:lineRule="auto"/>
        <w:jc w:val="left"/>
        <w:rPr>
          <w:rFonts w:hint="eastAsia" w:ascii="宋体" w:hAnsi="宋体"/>
          <w:color w:val="auto"/>
          <w:sz w:val="24"/>
          <w:highlight w:val="none"/>
        </w:rPr>
      </w:pPr>
    </w:p>
    <w:p w14:paraId="447915D8">
      <w:pPr>
        <w:spacing w:line="360" w:lineRule="auto"/>
        <w:ind w:left="3541" w:leftChars="1686"/>
        <w:jc w:val="left"/>
        <w:rPr>
          <w:rFonts w:hint="eastAsia" w:ascii="宋体" w:hAnsi="宋体"/>
          <w:color w:val="auto"/>
          <w:sz w:val="24"/>
          <w:highlight w:val="none"/>
          <w:u w:val="single"/>
        </w:rPr>
      </w:pPr>
    </w:p>
    <w:p w14:paraId="149B1DB6">
      <w:pPr>
        <w:pStyle w:val="5"/>
        <w:rPr>
          <w:color w:val="auto"/>
          <w:highlight w:val="none"/>
        </w:rPr>
      </w:pPr>
      <w:r>
        <w:rPr>
          <w:color w:val="auto"/>
          <w:szCs w:val="28"/>
          <w:highlight w:val="none"/>
        </w:rPr>
        <w:br w:type="page"/>
      </w:r>
      <w:bookmarkStart w:id="124" w:name="_Toc19433"/>
      <w:bookmarkStart w:id="125" w:name="_Toc141099666"/>
      <w:bookmarkStart w:id="126" w:name="_Toc13665018"/>
      <w:bookmarkStart w:id="127" w:name="_Toc101004107"/>
      <w:bookmarkStart w:id="128" w:name="_Toc327190555"/>
      <w:r>
        <w:rPr>
          <w:rFonts w:hint="eastAsia"/>
          <w:color w:val="auto"/>
          <w:highlight w:val="none"/>
        </w:rPr>
        <w:t>（九）</w:t>
      </w:r>
      <w:bookmarkEnd w:id="124"/>
      <w:r>
        <w:rPr>
          <w:rFonts w:hint="eastAsia"/>
          <w:color w:val="auto"/>
          <w:highlight w:val="none"/>
        </w:rPr>
        <w:t>未提供相关服务承诺书</w:t>
      </w:r>
    </w:p>
    <w:p w14:paraId="1DCF9E65">
      <w:pPr>
        <w:spacing w:after="240" w:afterLines="100" w:line="440" w:lineRule="exact"/>
        <w:rPr>
          <w:rFonts w:hint="eastAsia" w:ascii="宋体" w:hAnsi="宋体"/>
          <w:color w:val="auto"/>
          <w:sz w:val="24"/>
          <w:highlight w:val="none"/>
        </w:rPr>
      </w:pPr>
      <w:r>
        <w:rPr>
          <w:rFonts w:hint="eastAsia" w:ascii="宋体" w:hAnsi="宋体"/>
          <w:color w:val="auto"/>
          <w:sz w:val="24"/>
          <w:highlight w:val="none"/>
          <w:u w:val="single"/>
        </w:rPr>
        <w:t>（采购人名称）</w:t>
      </w:r>
      <w:r>
        <w:rPr>
          <w:rFonts w:hint="eastAsia" w:ascii="宋体" w:hAnsi="宋体"/>
          <w:color w:val="auto"/>
          <w:sz w:val="24"/>
          <w:highlight w:val="none"/>
        </w:rPr>
        <w:t>：</w:t>
      </w:r>
    </w:p>
    <w:p w14:paraId="40FC42E9">
      <w:pPr>
        <w:spacing w:line="360" w:lineRule="auto"/>
        <w:ind w:firstLine="420"/>
        <w:rPr>
          <w:rFonts w:hint="eastAsia" w:ascii="宋体" w:hAnsi="宋体"/>
          <w:color w:val="auto"/>
          <w:sz w:val="24"/>
          <w:highlight w:val="none"/>
        </w:rPr>
      </w:pPr>
      <w:r>
        <w:rPr>
          <w:rFonts w:ascii="宋体" w:hAnsi="宋体"/>
          <w:color w:val="auto"/>
          <w:sz w:val="24"/>
          <w:highlight w:val="none"/>
        </w:rPr>
        <w:t>我公司参加贵单位组织的</w:t>
      </w:r>
      <w:r>
        <w:rPr>
          <w:rFonts w:hint="eastAsia" w:ascii="宋体" w:hAnsi="宋体"/>
          <w:color w:val="auto"/>
          <w:sz w:val="24"/>
          <w:highlight w:val="none"/>
          <w:u w:val="single"/>
          <w:lang w:eastAsia="zh-CN"/>
        </w:rPr>
        <w:t>怒江州中医医院心肺康复设备采购项目</w:t>
      </w:r>
      <w:r>
        <w:rPr>
          <w:rFonts w:hint="eastAsia" w:ascii="宋体" w:hAnsi="宋体"/>
          <w:color w:val="auto"/>
          <w:sz w:val="24"/>
          <w:highlight w:val="none"/>
        </w:rPr>
        <w:t>采购活动，现承诺如下：</w:t>
      </w:r>
    </w:p>
    <w:p w14:paraId="289FC3A8">
      <w:pPr>
        <w:spacing w:line="360" w:lineRule="auto"/>
        <w:ind w:firstLine="42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、我公司未为本项目提供过整体设计、规范编制或者项目管理、监理、检测等服务；</w:t>
      </w:r>
    </w:p>
    <w:p w14:paraId="1421C3CC">
      <w:pPr>
        <w:spacing w:line="360" w:lineRule="auto"/>
        <w:ind w:firstLine="420"/>
        <w:rPr>
          <w:rFonts w:hint="eastAsia" w:ascii="宋体" w:hAnsi="宋体"/>
          <w:color w:val="auto"/>
          <w:sz w:val="24"/>
          <w:highlight w:val="none"/>
        </w:rPr>
      </w:pPr>
      <w:r>
        <w:rPr>
          <w:rFonts w:hint="eastAsia" w:ascii="宋体" w:hAnsi="宋体"/>
          <w:color w:val="auto"/>
          <w:sz w:val="24"/>
          <w:highlight w:val="none"/>
        </w:rPr>
        <w:t>我公司确保承诺的真实性，若因为公司虚假承诺带来的后果，由我公司全权承担。</w:t>
      </w:r>
    </w:p>
    <w:p w14:paraId="6E6132B0">
      <w:pPr>
        <w:spacing w:line="360" w:lineRule="auto"/>
        <w:ind w:firstLine="420"/>
        <w:rPr>
          <w:rFonts w:hint="eastAsia" w:ascii="宋体" w:hAnsi="宋体"/>
          <w:color w:val="auto"/>
          <w:sz w:val="24"/>
          <w:highlight w:val="none"/>
        </w:rPr>
      </w:pPr>
    </w:p>
    <w:p w14:paraId="21E27204">
      <w:pPr>
        <w:spacing w:line="360" w:lineRule="auto"/>
        <w:jc w:val="left"/>
        <w:rPr>
          <w:rFonts w:hint="eastAsia" w:ascii="宋体" w:hAnsi="宋体"/>
          <w:color w:val="auto"/>
          <w:sz w:val="24"/>
          <w:highlight w:val="none"/>
        </w:rPr>
      </w:pPr>
    </w:p>
    <w:p w14:paraId="073CC279">
      <w:pPr>
        <w:spacing w:line="360" w:lineRule="auto"/>
        <w:rPr>
          <w:rFonts w:hint="eastAsia" w:ascii="宋体" w:hAnsi="宋体"/>
          <w:color w:val="auto"/>
          <w:sz w:val="24"/>
          <w:highlight w:val="none"/>
        </w:rPr>
      </w:pPr>
    </w:p>
    <w:p w14:paraId="40FD4638">
      <w:pPr>
        <w:spacing w:line="360" w:lineRule="auto"/>
        <w:rPr>
          <w:rFonts w:hint="eastAsia" w:ascii="宋体" w:hAnsi="宋体"/>
          <w:color w:val="auto"/>
          <w:sz w:val="24"/>
          <w:highlight w:val="none"/>
        </w:rPr>
      </w:pPr>
    </w:p>
    <w:p w14:paraId="4F7B96E7">
      <w:pPr>
        <w:spacing w:line="360" w:lineRule="auto"/>
        <w:rPr>
          <w:rFonts w:hint="eastAsia" w:ascii="宋体" w:hAnsi="宋体"/>
          <w:color w:val="auto"/>
          <w:sz w:val="24"/>
          <w:highlight w:val="none"/>
        </w:rPr>
      </w:pPr>
    </w:p>
    <w:p w14:paraId="5358FD79">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1800F7D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783056EE">
      <w:pPr>
        <w:spacing w:line="360" w:lineRule="auto"/>
        <w:rPr>
          <w:rFonts w:hint="eastAsia" w:ascii="宋体" w:hAnsi="宋体"/>
          <w:color w:val="auto"/>
          <w:szCs w:val="21"/>
          <w:highlight w:val="none"/>
        </w:rPr>
      </w:pPr>
      <w:r>
        <w:rPr>
          <w:rFonts w:hint="eastAsia" w:ascii="宋体" w:hAnsi="宋体"/>
          <w:color w:val="auto"/>
          <w:sz w:val="24"/>
          <w:highlight w:val="none"/>
        </w:rPr>
        <w:t>日期：年月日</w:t>
      </w:r>
    </w:p>
    <w:p w14:paraId="7183DD45">
      <w:pPr>
        <w:rPr>
          <w:rStyle w:val="147"/>
          <w:color w:val="auto"/>
          <w:highlight w:val="none"/>
        </w:rPr>
      </w:pPr>
    </w:p>
    <w:p w14:paraId="6ACCA729">
      <w:pPr>
        <w:widowControl/>
        <w:jc w:val="left"/>
        <w:rPr>
          <w:rFonts w:eastAsia="黑体"/>
          <w:b/>
          <w:color w:val="auto"/>
          <w:kern w:val="0"/>
          <w:sz w:val="28"/>
          <w:szCs w:val="20"/>
          <w:highlight w:val="none"/>
        </w:rPr>
      </w:pPr>
      <w:r>
        <w:rPr>
          <w:color w:val="auto"/>
          <w:highlight w:val="none"/>
        </w:rPr>
        <w:br w:type="page"/>
      </w:r>
    </w:p>
    <w:p w14:paraId="04D74452">
      <w:pPr>
        <w:pStyle w:val="5"/>
        <w:rPr>
          <w:color w:val="auto"/>
          <w:highlight w:val="none"/>
        </w:rPr>
      </w:pPr>
      <w:r>
        <w:rPr>
          <w:rFonts w:hint="eastAsia"/>
          <w:color w:val="auto"/>
          <w:highlight w:val="none"/>
        </w:rPr>
        <w:t>（十）知识产权承诺书</w:t>
      </w:r>
    </w:p>
    <w:p w14:paraId="7B807047">
      <w:pPr>
        <w:spacing w:after="240" w:afterLines="100" w:line="440" w:lineRule="exact"/>
        <w:rPr>
          <w:rFonts w:hint="eastAsia" w:ascii="宋体" w:hAnsi="宋体" w:cs="宋体"/>
          <w:color w:val="auto"/>
          <w:sz w:val="24"/>
          <w:highlight w:val="none"/>
        </w:rPr>
      </w:pP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AE3D54B">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怒江州中医医院心肺康复设备采购项目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采购活动，现承诺如下：</w:t>
      </w:r>
    </w:p>
    <w:p w14:paraId="1B9DA90A">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1、我公司保证使用方在设备和配套软件产品使用期不受第三方提出侵犯其专利权、商标权、工业设计权、著作权或其它知识产权的起诉；</w:t>
      </w:r>
    </w:p>
    <w:p w14:paraId="6325BA1C">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我公司确保承诺的真实性，若因为公司虚假承诺带来的后果，由我公司全权承担。</w:t>
      </w:r>
    </w:p>
    <w:p w14:paraId="11EF1D2F">
      <w:pPr>
        <w:spacing w:line="360" w:lineRule="auto"/>
        <w:ind w:firstLine="420"/>
        <w:rPr>
          <w:rFonts w:hint="eastAsia" w:ascii="宋体" w:hAnsi="宋体"/>
          <w:color w:val="auto"/>
          <w:szCs w:val="21"/>
          <w:highlight w:val="none"/>
        </w:rPr>
      </w:pPr>
    </w:p>
    <w:p w14:paraId="23D98E74">
      <w:pPr>
        <w:spacing w:line="360" w:lineRule="auto"/>
        <w:jc w:val="left"/>
        <w:rPr>
          <w:rFonts w:hint="eastAsia" w:ascii="宋体" w:hAnsi="宋体"/>
          <w:color w:val="auto"/>
          <w:szCs w:val="21"/>
          <w:highlight w:val="none"/>
        </w:rPr>
      </w:pPr>
    </w:p>
    <w:p w14:paraId="598A80CF">
      <w:pPr>
        <w:spacing w:line="360" w:lineRule="auto"/>
        <w:rPr>
          <w:rFonts w:hint="eastAsia" w:ascii="宋体" w:hAnsi="宋体"/>
          <w:color w:val="auto"/>
          <w:szCs w:val="21"/>
          <w:highlight w:val="none"/>
        </w:rPr>
      </w:pPr>
    </w:p>
    <w:p w14:paraId="6CA2A793">
      <w:pPr>
        <w:spacing w:line="360" w:lineRule="auto"/>
        <w:rPr>
          <w:rFonts w:hint="eastAsia" w:ascii="宋体" w:hAnsi="宋体"/>
          <w:color w:val="auto"/>
          <w:szCs w:val="21"/>
          <w:highlight w:val="none"/>
        </w:rPr>
      </w:pPr>
    </w:p>
    <w:p w14:paraId="4CBC888A">
      <w:pPr>
        <w:spacing w:line="360" w:lineRule="auto"/>
        <w:rPr>
          <w:rFonts w:hint="eastAsia" w:ascii="宋体" w:hAnsi="宋体"/>
          <w:color w:val="auto"/>
          <w:szCs w:val="21"/>
          <w:highlight w:val="none"/>
        </w:rPr>
      </w:pPr>
    </w:p>
    <w:p w14:paraId="3D3847A3">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47EDB72F">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01FAD0F2">
      <w:pPr>
        <w:rPr>
          <w:color w:val="auto"/>
          <w:highlight w:val="none"/>
        </w:rPr>
      </w:pPr>
      <w:r>
        <w:rPr>
          <w:rFonts w:hint="eastAsia" w:ascii="宋体" w:hAnsi="宋体"/>
          <w:color w:val="auto"/>
          <w:sz w:val="24"/>
          <w:highlight w:val="none"/>
        </w:rPr>
        <w:t>日期：年月日</w:t>
      </w:r>
    </w:p>
    <w:p w14:paraId="7E10AF0A">
      <w:pPr>
        <w:rPr>
          <w:color w:val="auto"/>
          <w:highlight w:val="none"/>
        </w:rPr>
      </w:pPr>
      <w:r>
        <w:rPr>
          <w:rFonts w:hint="eastAsia"/>
          <w:color w:val="auto"/>
          <w:highlight w:val="none"/>
        </w:rPr>
        <w:br w:type="page"/>
      </w:r>
    </w:p>
    <w:p w14:paraId="6FFDD7F8">
      <w:pPr>
        <w:pStyle w:val="5"/>
        <w:rPr>
          <w:color w:val="auto"/>
          <w:highlight w:val="none"/>
        </w:rPr>
      </w:pPr>
      <w:r>
        <w:rPr>
          <w:rFonts w:hint="eastAsia"/>
          <w:color w:val="auto"/>
          <w:highlight w:val="none"/>
        </w:rPr>
        <w:t>（十一）法律、行政法规规定的其他条件</w:t>
      </w:r>
    </w:p>
    <w:p w14:paraId="5E3C8072">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3E98C23">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怒江州中医医院心肺康复设备采购项目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采购活动，现承诺如下：</w:t>
      </w:r>
    </w:p>
    <w:p w14:paraId="213D5E12">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1、我公司满足法律、行政法规规定的其他条件；</w:t>
      </w:r>
    </w:p>
    <w:p w14:paraId="1C9B924C">
      <w:pPr>
        <w:spacing w:line="360" w:lineRule="auto"/>
        <w:ind w:firstLine="420"/>
        <w:rPr>
          <w:rFonts w:hint="eastAsia" w:ascii="宋体" w:hAnsi="宋体" w:cs="宋体"/>
          <w:color w:val="auto"/>
          <w:sz w:val="24"/>
          <w:highlight w:val="none"/>
          <w:u w:val="single"/>
        </w:rPr>
      </w:pPr>
      <w:r>
        <w:rPr>
          <w:rFonts w:hint="eastAsia" w:ascii="宋体" w:hAnsi="宋体" w:cs="宋体"/>
          <w:color w:val="auto"/>
          <w:sz w:val="24"/>
          <w:highlight w:val="none"/>
        </w:rPr>
        <w:t>2、其他：</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53A03D9">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我公司确保承诺的真实性，若因为公司虚假承诺带来的后果，由我公司全权承担。</w:t>
      </w:r>
    </w:p>
    <w:p w14:paraId="36E9F327">
      <w:pPr>
        <w:spacing w:line="360" w:lineRule="auto"/>
        <w:jc w:val="left"/>
        <w:rPr>
          <w:rFonts w:hint="eastAsia" w:ascii="宋体" w:hAnsi="宋体" w:cs="宋体"/>
          <w:color w:val="auto"/>
          <w:sz w:val="24"/>
          <w:highlight w:val="none"/>
        </w:rPr>
      </w:pPr>
    </w:p>
    <w:p w14:paraId="09B55F13">
      <w:pPr>
        <w:spacing w:line="360" w:lineRule="auto"/>
        <w:jc w:val="left"/>
        <w:rPr>
          <w:rFonts w:hint="eastAsia" w:ascii="宋体" w:hAnsi="宋体" w:cs="宋体"/>
          <w:color w:val="auto"/>
          <w:sz w:val="24"/>
          <w:highlight w:val="none"/>
        </w:rPr>
      </w:pPr>
    </w:p>
    <w:p w14:paraId="2785C2BC">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投标人：（加盖电子公章）</w:t>
      </w:r>
    </w:p>
    <w:p w14:paraId="54F4219E">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法定代表人或其委托代理人：（电子签章或签名）</w:t>
      </w:r>
    </w:p>
    <w:p w14:paraId="01019C6F">
      <w:pPr>
        <w:spacing w:line="360" w:lineRule="auto"/>
        <w:ind w:firstLine="420"/>
        <w:rPr>
          <w:rFonts w:hint="eastAsia" w:ascii="宋体" w:hAnsi="宋体"/>
          <w:color w:val="auto"/>
          <w:sz w:val="24"/>
          <w:highlight w:val="none"/>
        </w:rPr>
      </w:pPr>
      <w:r>
        <w:rPr>
          <w:rFonts w:hint="eastAsia" w:ascii="宋体" w:hAnsi="宋体" w:cs="宋体"/>
          <w:color w:val="auto"/>
          <w:sz w:val="24"/>
          <w:highlight w:val="none"/>
        </w:rPr>
        <w:t>日期：年月日</w:t>
      </w:r>
    </w:p>
    <w:p w14:paraId="25F3C6D5">
      <w:pPr>
        <w:rPr>
          <w:color w:val="auto"/>
          <w:highlight w:val="none"/>
        </w:rPr>
      </w:pPr>
    </w:p>
    <w:p w14:paraId="2A25CEF9">
      <w:pPr>
        <w:rPr>
          <w:color w:val="auto"/>
          <w:highlight w:val="none"/>
        </w:rPr>
      </w:pPr>
      <w:r>
        <w:rPr>
          <w:rFonts w:hint="eastAsia"/>
          <w:color w:val="auto"/>
          <w:highlight w:val="none"/>
        </w:rPr>
        <w:br w:type="page"/>
      </w:r>
    </w:p>
    <w:p w14:paraId="4835BCEA">
      <w:pPr>
        <w:pStyle w:val="5"/>
        <w:rPr>
          <w:color w:val="auto"/>
          <w:highlight w:val="none"/>
        </w:rPr>
      </w:pPr>
      <w:r>
        <w:rPr>
          <w:rFonts w:hint="eastAsia"/>
          <w:color w:val="auto"/>
          <w:highlight w:val="none"/>
        </w:rPr>
        <w:t>（十二）医疗器械</w:t>
      </w:r>
      <w:r>
        <w:rPr>
          <w:rFonts w:hint="eastAsia" w:ascii="宋体" w:hAnsi="宋体"/>
          <w:color w:val="auto"/>
          <w:szCs w:val="21"/>
          <w:highlight w:val="none"/>
        </w:rPr>
        <w:t>相关许可证/</w:t>
      </w:r>
      <w:r>
        <w:rPr>
          <w:rFonts w:hint="eastAsia"/>
          <w:color w:val="auto"/>
          <w:highlight w:val="none"/>
        </w:rPr>
        <w:t>备案证等</w:t>
      </w:r>
    </w:p>
    <w:p w14:paraId="2BC5983A">
      <w:pPr>
        <w:spacing w:line="360" w:lineRule="auto"/>
        <w:ind w:firstLine="420"/>
        <w:rPr>
          <w:rFonts w:hint="eastAsia" w:ascii="宋体" w:hAnsi="宋体"/>
          <w:color w:val="auto"/>
          <w:sz w:val="24"/>
          <w:highlight w:val="none"/>
        </w:rPr>
      </w:pPr>
      <w:r>
        <w:rPr>
          <w:rFonts w:hint="eastAsia" w:ascii="宋体" w:hAnsi="宋体"/>
          <w:color w:val="auto"/>
          <w:sz w:val="24"/>
          <w:highlight w:val="none"/>
        </w:rPr>
        <w:t>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w:t>
      </w:r>
    </w:p>
    <w:p w14:paraId="4BE35EFC">
      <w:pPr>
        <w:spacing w:line="360" w:lineRule="auto"/>
        <w:ind w:firstLine="420"/>
        <w:rPr>
          <w:rFonts w:hint="eastAsia" w:ascii="宋体" w:hAnsi="宋体"/>
          <w:color w:val="auto"/>
          <w:sz w:val="24"/>
          <w:highlight w:val="none"/>
        </w:rPr>
      </w:pPr>
      <w:r>
        <w:rPr>
          <w:rFonts w:hint="eastAsia" w:ascii="宋体" w:hAnsi="宋体"/>
          <w:color w:val="auto"/>
          <w:sz w:val="24"/>
          <w:highlight w:val="none"/>
        </w:rPr>
        <w:t>①所投产品被列入《医疗器械分类目录》内，投标人如果是代理商或经销商，须提供医疗器械经营许可/备案证，所投产品制造商医疗器械生产许可/备案证、所投产品的医疗器械注册证；投标人如果是制造商，须提供医疗器械生产许可/备案证、所投产品的医疗器械注册证。医疗器械生产或经营许可/备案证生产或经营范围须覆盖所投第二、三类医疗器械；</w:t>
      </w:r>
    </w:p>
    <w:p w14:paraId="509D41EF">
      <w:pPr>
        <w:spacing w:line="360" w:lineRule="auto"/>
        <w:ind w:firstLine="420"/>
        <w:rPr>
          <w:rFonts w:hint="eastAsia" w:ascii="宋体" w:hAnsi="宋体"/>
          <w:color w:val="auto"/>
          <w:szCs w:val="21"/>
          <w:highlight w:val="none"/>
        </w:rPr>
      </w:pPr>
      <w:r>
        <w:rPr>
          <w:rFonts w:hint="eastAsia" w:ascii="宋体" w:hAnsi="宋体"/>
          <w:color w:val="auto"/>
          <w:sz w:val="24"/>
          <w:highlight w:val="none"/>
        </w:rPr>
        <w:t>②所投产品未被列入《医疗器械分类目录》内，投标人须提供相关证明材料或书面声明。</w:t>
      </w:r>
    </w:p>
    <w:p w14:paraId="3BF7615D">
      <w:pPr>
        <w:widowControl/>
        <w:jc w:val="left"/>
        <w:rPr>
          <w:rFonts w:eastAsia="黑体"/>
          <w:b/>
          <w:color w:val="auto"/>
          <w:kern w:val="0"/>
          <w:sz w:val="28"/>
          <w:szCs w:val="20"/>
          <w:highlight w:val="none"/>
        </w:rPr>
      </w:pPr>
      <w:r>
        <w:rPr>
          <w:color w:val="auto"/>
          <w:highlight w:val="none"/>
        </w:rPr>
        <w:br w:type="page"/>
      </w:r>
    </w:p>
    <w:p w14:paraId="1C5F0A13">
      <w:pPr>
        <w:pStyle w:val="5"/>
        <w:rPr>
          <w:color w:val="auto"/>
          <w:highlight w:val="none"/>
        </w:rPr>
      </w:pPr>
      <w:r>
        <w:rPr>
          <w:rFonts w:hint="eastAsia"/>
          <w:color w:val="auto"/>
          <w:highlight w:val="none"/>
        </w:rPr>
        <w:t>（十三）非联合体投标声明</w:t>
      </w:r>
    </w:p>
    <w:p w14:paraId="051233DA">
      <w:pPr>
        <w:spacing w:line="360" w:lineRule="auto"/>
        <w:jc w:val="center"/>
        <w:rPr>
          <w:color w:val="auto"/>
          <w:sz w:val="24"/>
          <w:highlight w:val="none"/>
        </w:rPr>
      </w:pPr>
      <w:r>
        <w:rPr>
          <w:rFonts w:hint="eastAsia"/>
          <w:color w:val="auto"/>
          <w:sz w:val="24"/>
          <w:highlight w:val="none"/>
        </w:rPr>
        <w:t>（格式自拟）</w:t>
      </w:r>
    </w:p>
    <w:p w14:paraId="265BE779">
      <w:pPr>
        <w:spacing w:line="360" w:lineRule="auto"/>
        <w:rPr>
          <w:rFonts w:hint="eastAsia" w:ascii="宋体" w:hAnsi="宋体"/>
          <w:color w:val="auto"/>
          <w:sz w:val="24"/>
          <w:highlight w:val="none"/>
        </w:rPr>
      </w:pPr>
    </w:p>
    <w:p w14:paraId="2ECBC60E">
      <w:pPr>
        <w:spacing w:line="360" w:lineRule="auto"/>
        <w:rPr>
          <w:rFonts w:hint="eastAsia" w:ascii="宋体" w:hAnsi="宋体"/>
          <w:color w:val="auto"/>
          <w:sz w:val="24"/>
          <w:highlight w:val="none"/>
        </w:rPr>
      </w:pPr>
    </w:p>
    <w:p w14:paraId="5A79CA4C">
      <w:pPr>
        <w:spacing w:line="360" w:lineRule="auto"/>
        <w:rPr>
          <w:rFonts w:hint="eastAsia" w:ascii="宋体" w:hAnsi="宋体"/>
          <w:color w:val="auto"/>
          <w:sz w:val="24"/>
          <w:highlight w:val="none"/>
        </w:rPr>
      </w:pPr>
    </w:p>
    <w:p w14:paraId="0D529CD4">
      <w:pPr>
        <w:spacing w:line="360" w:lineRule="auto"/>
        <w:rPr>
          <w:rFonts w:hint="eastAsia" w:ascii="宋体" w:hAnsi="宋体"/>
          <w:color w:val="auto"/>
          <w:sz w:val="24"/>
          <w:highlight w:val="none"/>
        </w:rPr>
      </w:pPr>
    </w:p>
    <w:p w14:paraId="355734FA">
      <w:pPr>
        <w:spacing w:line="360" w:lineRule="auto"/>
        <w:rPr>
          <w:rFonts w:hint="eastAsia" w:ascii="宋体" w:hAnsi="宋体"/>
          <w:color w:val="auto"/>
          <w:sz w:val="24"/>
          <w:highlight w:val="none"/>
        </w:rPr>
      </w:pPr>
    </w:p>
    <w:p w14:paraId="6D982AFE">
      <w:pPr>
        <w:spacing w:line="360" w:lineRule="auto"/>
        <w:rPr>
          <w:rFonts w:hint="eastAsia" w:ascii="宋体" w:hAnsi="宋体"/>
          <w:color w:val="auto"/>
          <w:sz w:val="24"/>
          <w:highlight w:val="none"/>
        </w:rPr>
      </w:pPr>
    </w:p>
    <w:p w14:paraId="01B639C1">
      <w:pPr>
        <w:spacing w:line="360" w:lineRule="auto"/>
        <w:rPr>
          <w:rFonts w:hint="eastAsia" w:ascii="宋体" w:hAnsi="宋体"/>
          <w:color w:val="auto"/>
          <w:sz w:val="24"/>
          <w:highlight w:val="none"/>
        </w:rPr>
      </w:pPr>
    </w:p>
    <w:p w14:paraId="46D24EBF">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0D23C09F">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2FA145F7">
      <w:pPr>
        <w:rPr>
          <w:rFonts w:hint="eastAsia" w:ascii="宋体" w:hAnsi="宋体"/>
          <w:color w:val="auto"/>
          <w:szCs w:val="21"/>
          <w:highlight w:val="none"/>
        </w:rPr>
      </w:pPr>
      <w:r>
        <w:rPr>
          <w:rFonts w:hint="eastAsia" w:ascii="宋体" w:hAnsi="宋体"/>
          <w:color w:val="auto"/>
          <w:sz w:val="24"/>
          <w:highlight w:val="none"/>
        </w:rPr>
        <w:t>日期： 年 月 日</w:t>
      </w:r>
    </w:p>
    <w:p w14:paraId="5905E308">
      <w:pPr>
        <w:rPr>
          <w:color w:val="auto"/>
          <w:highlight w:val="none"/>
        </w:rPr>
      </w:pPr>
    </w:p>
    <w:p w14:paraId="51E37CA0">
      <w:pPr>
        <w:ind w:firstLine="420" w:firstLineChars="200"/>
        <w:rPr>
          <w:color w:val="auto"/>
          <w:szCs w:val="21"/>
          <w:highlight w:val="none"/>
        </w:rPr>
      </w:pPr>
    </w:p>
    <w:p w14:paraId="1F30F459">
      <w:pPr>
        <w:pStyle w:val="5"/>
        <w:rPr>
          <w:color w:val="auto"/>
          <w:sz w:val="30"/>
          <w:szCs w:val="30"/>
          <w:highlight w:val="none"/>
        </w:rPr>
      </w:pPr>
      <w:r>
        <w:rPr>
          <w:color w:val="auto"/>
          <w:sz w:val="30"/>
          <w:szCs w:val="30"/>
          <w:highlight w:val="none"/>
        </w:rPr>
        <w:br w:type="page"/>
      </w:r>
      <w:bookmarkStart w:id="129" w:name="_Toc8548"/>
      <w:r>
        <w:rPr>
          <w:rFonts w:hint="eastAsia"/>
          <w:color w:val="auto"/>
          <w:highlight w:val="none"/>
        </w:rPr>
        <w:t>三</w:t>
      </w:r>
      <w:r>
        <w:rPr>
          <w:color w:val="auto"/>
          <w:highlight w:val="none"/>
        </w:rPr>
        <w:t>、</w:t>
      </w:r>
      <w:r>
        <w:rPr>
          <w:rFonts w:hint="eastAsia"/>
          <w:color w:val="auto"/>
          <w:highlight w:val="none"/>
        </w:rPr>
        <w:t>商务报价</w:t>
      </w:r>
      <w:r>
        <w:rPr>
          <w:color w:val="auto"/>
          <w:highlight w:val="none"/>
        </w:rPr>
        <w:t>部分</w:t>
      </w:r>
      <w:bookmarkEnd w:id="125"/>
      <w:bookmarkEnd w:id="126"/>
      <w:bookmarkEnd w:id="127"/>
      <w:bookmarkEnd w:id="129"/>
    </w:p>
    <w:p w14:paraId="341AB53A">
      <w:pPr>
        <w:pStyle w:val="5"/>
        <w:rPr>
          <w:color w:val="auto"/>
          <w:highlight w:val="none"/>
        </w:rPr>
      </w:pPr>
      <w:bookmarkStart w:id="130" w:name="_Toc493600031"/>
      <w:bookmarkStart w:id="131" w:name="_Toc101004108"/>
      <w:bookmarkStart w:id="132" w:name="_Toc13665019"/>
      <w:bookmarkStart w:id="133" w:name="_Toc141099667"/>
      <w:bookmarkStart w:id="134" w:name="_Toc10104"/>
      <w:r>
        <w:rPr>
          <w:rFonts w:hint="eastAsia"/>
          <w:color w:val="auto"/>
          <w:highlight w:val="none"/>
        </w:rPr>
        <w:t>（一）投 标 函</w:t>
      </w:r>
      <w:bookmarkEnd w:id="130"/>
      <w:bookmarkEnd w:id="131"/>
      <w:bookmarkEnd w:id="132"/>
      <w:bookmarkEnd w:id="133"/>
      <w:bookmarkEnd w:id="134"/>
    </w:p>
    <w:p w14:paraId="7FA74310">
      <w:pPr>
        <w:pStyle w:val="19"/>
        <w:rPr>
          <w:rFonts w:hint="eastAsia"/>
          <w:color w:val="auto"/>
          <w:highlight w:val="none"/>
          <w:u w:val="single"/>
        </w:rPr>
      </w:pPr>
      <w:r>
        <w:rPr>
          <w:rFonts w:hint="eastAsia"/>
          <w:color w:val="auto"/>
          <w:highlight w:val="none"/>
        </w:rPr>
        <w:t>致：</w:t>
      </w:r>
      <w:r>
        <w:rPr>
          <w:rFonts w:hint="eastAsia"/>
          <w:color w:val="auto"/>
          <w:highlight w:val="none"/>
          <w:u w:val="single"/>
        </w:rPr>
        <w:t xml:space="preserve"> </w:t>
      </w:r>
      <w:r>
        <w:rPr>
          <w:rFonts w:hint="eastAsia" w:cs="宋体"/>
          <w:color w:val="auto"/>
          <w:highlight w:val="none"/>
          <w:u w:val="single"/>
        </w:rPr>
        <w:t>（采购人名称）</w:t>
      </w:r>
      <w:r>
        <w:rPr>
          <w:rFonts w:hint="eastAsia"/>
          <w:color w:val="auto"/>
          <w:highlight w:val="none"/>
          <w:u w:val="single"/>
        </w:rPr>
        <w:t xml:space="preserve"> </w:t>
      </w:r>
    </w:p>
    <w:p w14:paraId="4EC4CA94">
      <w:pPr>
        <w:pStyle w:val="19"/>
        <w:ind w:firstLine="420"/>
        <w:rPr>
          <w:rFonts w:hint="eastAsia"/>
          <w:color w:val="auto"/>
          <w:highlight w:val="none"/>
        </w:rPr>
      </w:pPr>
      <w:r>
        <w:rPr>
          <w:rFonts w:hint="eastAsia"/>
          <w:color w:val="auto"/>
          <w:highlight w:val="none"/>
        </w:rPr>
        <w:t>我方仔细研究了</w:t>
      </w:r>
      <w:r>
        <w:rPr>
          <w:rFonts w:hint="eastAsia"/>
          <w:color w:val="auto"/>
          <w:highlight w:val="none"/>
          <w:u w:val="single"/>
          <w:lang w:eastAsia="zh-CN"/>
        </w:rPr>
        <w:t>怒江州中医医院心肺康复设备采购项目</w:t>
      </w:r>
      <w:r>
        <w:rPr>
          <w:rFonts w:hint="eastAsia"/>
          <w:color w:val="auto"/>
          <w:highlight w:val="none"/>
        </w:rPr>
        <w:t>（项目编号：</w:t>
      </w:r>
      <w:r>
        <w:rPr>
          <w:rFonts w:hint="eastAsia"/>
          <w:color w:val="auto"/>
          <w:highlight w:val="none"/>
          <w:u w:val="single"/>
          <w:lang w:eastAsia="zh-CN"/>
        </w:rPr>
        <w:t xml:space="preserve"> NJZC2025-G1-00360-YZGF-1037</w:t>
      </w:r>
      <w:r>
        <w:rPr>
          <w:rFonts w:hint="eastAsia"/>
          <w:color w:val="auto"/>
          <w:highlight w:val="none"/>
        </w:rPr>
        <w:t>）</w:t>
      </w:r>
      <w:r>
        <w:rPr>
          <w:color w:val="auto"/>
          <w:highlight w:val="none"/>
        </w:rPr>
        <w:t>项目招标</w:t>
      </w:r>
      <w:r>
        <w:rPr>
          <w:rFonts w:hint="eastAsia"/>
          <w:color w:val="auto"/>
          <w:highlight w:val="none"/>
        </w:rPr>
        <w:t>文件的全部内容，我公司愿意</w:t>
      </w:r>
      <w:r>
        <w:rPr>
          <w:color w:val="auto"/>
          <w:highlight w:val="none"/>
        </w:rPr>
        <w:t>参加本次投标活动，并</w:t>
      </w:r>
      <w:r>
        <w:rPr>
          <w:rFonts w:hint="eastAsia"/>
          <w:color w:val="auto"/>
          <w:highlight w:val="none"/>
        </w:rPr>
        <w:t>提交电子</w:t>
      </w:r>
      <w:r>
        <w:rPr>
          <w:color w:val="auto"/>
          <w:highlight w:val="none"/>
        </w:rPr>
        <w:t>投标</w:t>
      </w:r>
      <w:r>
        <w:rPr>
          <w:rFonts w:hint="eastAsia"/>
          <w:color w:val="auto"/>
          <w:highlight w:val="none"/>
        </w:rPr>
        <w:t>文件</w:t>
      </w:r>
      <w:r>
        <w:rPr>
          <w:color w:val="auto"/>
          <w:highlight w:val="none"/>
        </w:rPr>
        <w:t>。</w:t>
      </w:r>
    </w:p>
    <w:p w14:paraId="6E9C5CB7">
      <w:pPr>
        <w:pStyle w:val="19"/>
        <w:rPr>
          <w:rFonts w:hint="eastAsia"/>
          <w:color w:val="auto"/>
          <w:highlight w:val="none"/>
        </w:rPr>
      </w:pPr>
      <w:r>
        <w:rPr>
          <w:rFonts w:hint="eastAsia"/>
          <w:color w:val="auto"/>
          <w:highlight w:val="none"/>
        </w:rPr>
        <w:t>据此函，我方同意如下：</w:t>
      </w:r>
    </w:p>
    <w:p w14:paraId="7F9DC739">
      <w:pPr>
        <w:pStyle w:val="19"/>
        <w:rPr>
          <w:rFonts w:hint="eastAsia"/>
          <w:color w:val="auto"/>
          <w:highlight w:val="none"/>
        </w:rPr>
      </w:pPr>
      <w:r>
        <w:rPr>
          <w:rFonts w:hint="eastAsia"/>
          <w:color w:val="auto"/>
          <w:highlight w:val="none"/>
        </w:rPr>
        <w:t>1、按招标文件项目需求及技术要求和货物报价表，我方愿以开标一览表中填报的投标总报价作为报价，并在</w:t>
      </w:r>
      <w:r>
        <w:rPr>
          <w:rFonts w:hint="eastAsia"/>
          <w:color w:val="auto"/>
          <w:highlight w:val="none"/>
          <w:u w:val="single"/>
        </w:rPr>
        <w:t xml:space="preserve">  （交货期）   </w:t>
      </w:r>
      <w:r>
        <w:rPr>
          <w:rFonts w:hint="eastAsia"/>
          <w:color w:val="auto"/>
          <w:highlight w:val="none"/>
        </w:rPr>
        <w:t>完成设备的安装调试及验收。</w:t>
      </w:r>
    </w:p>
    <w:p w14:paraId="62F0C187">
      <w:pPr>
        <w:pStyle w:val="19"/>
        <w:rPr>
          <w:rFonts w:hint="eastAsia"/>
          <w:color w:val="auto"/>
          <w:highlight w:val="none"/>
        </w:rPr>
      </w:pPr>
      <w:r>
        <w:rPr>
          <w:rFonts w:hint="eastAsia"/>
          <w:color w:val="auto"/>
          <w:highlight w:val="none"/>
        </w:rPr>
        <w:t>2、我方已</w:t>
      </w:r>
      <w:r>
        <w:rPr>
          <w:color w:val="auto"/>
          <w:highlight w:val="none"/>
        </w:rPr>
        <w:t>详细审查全部招标文件，包括</w:t>
      </w:r>
      <w:r>
        <w:rPr>
          <w:rFonts w:hint="eastAsia"/>
          <w:i/>
          <w:color w:val="auto"/>
          <w:highlight w:val="none"/>
          <w:u w:val="single"/>
        </w:rPr>
        <w:t>（澄清</w:t>
      </w:r>
      <w:r>
        <w:rPr>
          <w:i/>
          <w:color w:val="auto"/>
          <w:highlight w:val="none"/>
          <w:u w:val="single"/>
        </w:rPr>
        <w:t>文件</w:t>
      </w:r>
      <w:r>
        <w:rPr>
          <w:rFonts w:hint="eastAsia"/>
          <w:i/>
          <w:color w:val="auto"/>
          <w:highlight w:val="none"/>
          <w:u w:val="single"/>
        </w:rPr>
        <w:t>）</w:t>
      </w:r>
      <w:r>
        <w:rPr>
          <w:color w:val="auto"/>
          <w:highlight w:val="none"/>
          <w:u w:val="single"/>
        </w:rPr>
        <w:t>(如果有的话)</w:t>
      </w:r>
      <w:r>
        <w:rPr>
          <w:color w:val="auto"/>
          <w:highlight w:val="none"/>
        </w:rPr>
        <w:t>。我</w:t>
      </w:r>
      <w:r>
        <w:rPr>
          <w:rFonts w:hint="eastAsia"/>
          <w:color w:val="auto"/>
          <w:highlight w:val="none"/>
        </w:rPr>
        <w:t>方</w:t>
      </w:r>
      <w:r>
        <w:rPr>
          <w:color w:val="auto"/>
          <w:highlight w:val="none"/>
        </w:rPr>
        <w:t>完全理解</w:t>
      </w:r>
      <w:r>
        <w:rPr>
          <w:rFonts w:hint="eastAsia"/>
          <w:color w:val="auto"/>
          <w:highlight w:val="none"/>
        </w:rPr>
        <w:t>相关文件要求，</w:t>
      </w:r>
      <w:r>
        <w:rPr>
          <w:color w:val="auto"/>
          <w:highlight w:val="none"/>
        </w:rPr>
        <w:t>并</w:t>
      </w:r>
      <w:r>
        <w:rPr>
          <w:rFonts w:hint="eastAsia"/>
          <w:color w:val="auto"/>
          <w:highlight w:val="none"/>
        </w:rPr>
        <w:t>承担</w:t>
      </w:r>
      <w:r>
        <w:rPr>
          <w:color w:val="auto"/>
          <w:highlight w:val="none"/>
        </w:rPr>
        <w:t>对这方面有不明及误解的</w:t>
      </w:r>
      <w:r>
        <w:rPr>
          <w:rFonts w:hint="eastAsia"/>
          <w:color w:val="auto"/>
          <w:highlight w:val="none"/>
        </w:rPr>
        <w:t>后果</w:t>
      </w:r>
      <w:r>
        <w:rPr>
          <w:color w:val="auto"/>
          <w:highlight w:val="none"/>
        </w:rPr>
        <w:t>。</w:t>
      </w:r>
    </w:p>
    <w:p w14:paraId="493D4091">
      <w:pPr>
        <w:pStyle w:val="19"/>
        <w:rPr>
          <w:rFonts w:hint="eastAsia"/>
          <w:color w:val="auto"/>
          <w:highlight w:val="none"/>
        </w:rPr>
      </w:pPr>
      <w:r>
        <w:rPr>
          <w:rFonts w:hint="eastAsia"/>
          <w:color w:val="auto"/>
          <w:highlight w:val="none"/>
        </w:rPr>
        <w:t>3、在投标人须知规定的开标日期起遵循本投标文件，并在投标人须知规定的投标文件有效期满之前均具有约束力。</w:t>
      </w:r>
    </w:p>
    <w:p w14:paraId="4DE2E36D">
      <w:pPr>
        <w:pStyle w:val="19"/>
        <w:rPr>
          <w:rFonts w:hint="eastAsia"/>
          <w:color w:val="auto"/>
          <w:highlight w:val="none"/>
        </w:rPr>
      </w:pPr>
      <w:r>
        <w:rPr>
          <w:rFonts w:hint="eastAsia"/>
          <w:color w:val="auto"/>
          <w:highlight w:val="none"/>
        </w:rPr>
        <w:t>4、</w:t>
      </w:r>
      <w:r>
        <w:rPr>
          <w:color w:val="auto"/>
          <w:highlight w:val="none"/>
        </w:rPr>
        <w:t>同意投标人须知中关于投标保证金不予退还的规定。</w:t>
      </w:r>
    </w:p>
    <w:p w14:paraId="143BA3E4">
      <w:pPr>
        <w:pStyle w:val="19"/>
        <w:rPr>
          <w:rFonts w:hint="eastAsia"/>
          <w:color w:val="auto"/>
          <w:highlight w:val="none"/>
        </w:rPr>
      </w:pPr>
      <w:r>
        <w:rPr>
          <w:rFonts w:hint="eastAsia"/>
          <w:color w:val="auto"/>
          <w:highlight w:val="none"/>
        </w:rPr>
        <w:t>5、同意应贵方要求提供与本投标有关的任何数据或资料</w:t>
      </w:r>
      <w:r>
        <w:rPr>
          <w:color w:val="auto"/>
          <w:highlight w:val="none"/>
        </w:rPr>
        <w:t>，并保证数据和资料的完整性和真实性。</w:t>
      </w:r>
    </w:p>
    <w:p w14:paraId="4F0B2CC1">
      <w:pPr>
        <w:pStyle w:val="19"/>
        <w:rPr>
          <w:rFonts w:hint="eastAsia"/>
          <w:color w:val="auto"/>
          <w:highlight w:val="none"/>
        </w:rPr>
      </w:pPr>
      <w:r>
        <w:rPr>
          <w:rFonts w:hint="eastAsia"/>
          <w:color w:val="auto"/>
          <w:highlight w:val="none"/>
        </w:rPr>
        <w:t>6、完全理解贵方不一定要接受最低报价的投标人为中标人的行为。</w:t>
      </w:r>
    </w:p>
    <w:p w14:paraId="7AC0DA87">
      <w:pPr>
        <w:pStyle w:val="19"/>
        <w:rPr>
          <w:rFonts w:hint="eastAsia"/>
          <w:color w:val="auto"/>
          <w:highlight w:val="none"/>
        </w:rPr>
      </w:pPr>
      <w:r>
        <w:rPr>
          <w:rFonts w:hint="eastAsia"/>
          <w:color w:val="auto"/>
          <w:highlight w:val="none"/>
        </w:rPr>
        <w:t>7</w:t>
      </w:r>
      <w:r>
        <w:rPr>
          <w:color w:val="auto"/>
          <w:highlight w:val="none"/>
        </w:rPr>
        <w:t>．如我方中标：</w:t>
      </w:r>
    </w:p>
    <w:p w14:paraId="538C54E5">
      <w:pPr>
        <w:pStyle w:val="19"/>
        <w:rPr>
          <w:rFonts w:hint="eastAsia"/>
          <w:color w:val="auto"/>
          <w:highlight w:val="none"/>
        </w:rPr>
      </w:pPr>
      <w:r>
        <w:rPr>
          <w:color w:val="auto"/>
          <w:highlight w:val="none"/>
        </w:rPr>
        <w:t>（1）我方承诺在收到中标通知书后，在中标通知书规定的期限内与你方签订合同</w:t>
      </w:r>
      <w:r>
        <w:rPr>
          <w:rFonts w:hint="eastAsia"/>
          <w:color w:val="auto"/>
          <w:highlight w:val="none"/>
        </w:rPr>
        <w:t>，并</w:t>
      </w:r>
      <w:r>
        <w:rPr>
          <w:color w:val="auto"/>
          <w:highlight w:val="none"/>
        </w:rPr>
        <w:t>履行</w:t>
      </w:r>
      <w:r>
        <w:rPr>
          <w:rFonts w:hint="eastAsia"/>
          <w:color w:val="auto"/>
          <w:highlight w:val="none"/>
        </w:rPr>
        <w:t>相应的</w:t>
      </w:r>
      <w:r>
        <w:rPr>
          <w:color w:val="auto"/>
          <w:highlight w:val="none"/>
        </w:rPr>
        <w:t>合同责任和义务。</w:t>
      </w:r>
    </w:p>
    <w:p w14:paraId="49A1A5BD">
      <w:pPr>
        <w:pStyle w:val="19"/>
        <w:rPr>
          <w:rFonts w:hint="eastAsia"/>
          <w:color w:val="auto"/>
          <w:highlight w:val="none"/>
        </w:rPr>
      </w:pPr>
      <w:r>
        <w:rPr>
          <w:color w:val="auto"/>
          <w:highlight w:val="none"/>
        </w:rPr>
        <w:t>（2）我方承诺按照招标文件规定向你方递交履约担保。</w:t>
      </w:r>
    </w:p>
    <w:p w14:paraId="5960279D">
      <w:pPr>
        <w:pStyle w:val="19"/>
        <w:rPr>
          <w:rFonts w:hint="eastAsia"/>
          <w:color w:val="auto"/>
          <w:highlight w:val="none"/>
        </w:rPr>
      </w:pPr>
      <w:r>
        <w:rPr>
          <w:rFonts w:hint="eastAsia"/>
          <w:color w:val="auto"/>
          <w:highlight w:val="none"/>
        </w:rPr>
        <w:t>（3）</w:t>
      </w:r>
      <w:r>
        <w:rPr>
          <w:color w:val="auto"/>
          <w:highlight w:val="none"/>
        </w:rPr>
        <w:t>我方承诺</w:t>
      </w:r>
      <w:r>
        <w:rPr>
          <w:rFonts w:hint="eastAsia"/>
          <w:color w:val="auto"/>
          <w:highlight w:val="none"/>
        </w:rPr>
        <w:t>将承担售后服务及保修责任。</w:t>
      </w:r>
    </w:p>
    <w:p w14:paraId="58DC97B6">
      <w:pPr>
        <w:pStyle w:val="19"/>
        <w:rPr>
          <w:rFonts w:hint="eastAsia"/>
          <w:color w:val="auto"/>
          <w:highlight w:val="none"/>
        </w:rPr>
      </w:pPr>
      <w:r>
        <w:rPr>
          <w:rFonts w:hint="eastAsia"/>
          <w:color w:val="auto"/>
          <w:highlight w:val="none"/>
        </w:rPr>
        <w:t>8</w:t>
      </w:r>
      <w:r>
        <w:rPr>
          <w:color w:val="auto"/>
          <w:highlight w:val="none"/>
        </w:rPr>
        <w:t>．</w:t>
      </w:r>
      <w:r>
        <w:rPr>
          <w:rFonts w:hint="eastAsia"/>
          <w:color w:val="auto"/>
          <w:highlight w:val="none"/>
        </w:rPr>
        <w:t>我方在此声明，所递交的投标文件及有关资料内容完整、真实和准确。</w:t>
      </w:r>
    </w:p>
    <w:p w14:paraId="21B50D9E">
      <w:pPr>
        <w:pStyle w:val="19"/>
        <w:rPr>
          <w:rFonts w:hint="eastAsia"/>
          <w:color w:val="auto"/>
          <w:highlight w:val="none"/>
        </w:rPr>
      </w:pPr>
      <w:r>
        <w:rPr>
          <w:rFonts w:hint="eastAsia"/>
          <w:color w:val="auto"/>
          <w:highlight w:val="none"/>
        </w:rPr>
        <w:t>9．</w:t>
      </w:r>
      <w:r>
        <w:rPr>
          <w:color w:val="auto"/>
          <w:highlight w:val="none"/>
          <w:u w:val="single"/>
        </w:rPr>
        <w:t>（</w:t>
      </w:r>
      <w:r>
        <w:rPr>
          <w:rFonts w:hint="eastAsia"/>
          <w:color w:val="auto"/>
          <w:highlight w:val="none"/>
          <w:u w:val="single"/>
        </w:rPr>
        <w:t>其他</w:t>
      </w:r>
      <w:r>
        <w:rPr>
          <w:color w:val="auto"/>
          <w:highlight w:val="none"/>
          <w:u w:val="single"/>
        </w:rPr>
        <w:t>补充说明）</w:t>
      </w:r>
      <w:r>
        <w:rPr>
          <w:color w:val="auto"/>
          <w:highlight w:val="none"/>
        </w:rPr>
        <w:t>。</w:t>
      </w:r>
    </w:p>
    <w:p w14:paraId="39D81A79">
      <w:pPr>
        <w:pStyle w:val="19"/>
        <w:rPr>
          <w:rFonts w:hint="eastAsia"/>
          <w:color w:val="auto"/>
          <w:highlight w:val="none"/>
        </w:rPr>
      </w:pPr>
    </w:p>
    <w:p w14:paraId="327C7703">
      <w:pPr>
        <w:pStyle w:val="19"/>
        <w:rPr>
          <w:rFonts w:hint="eastAsia"/>
          <w:color w:val="auto"/>
          <w:highlight w:val="none"/>
        </w:rPr>
      </w:pPr>
      <w:r>
        <w:rPr>
          <w:rFonts w:hint="eastAsia"/>
          <w:color w:val="auto"/>
          <w:highlight w:val="none"/>
        </w:rPr>
        <w:t>与本投标有关的正式通讯地址为：</w:t>
      </w:r>
    </w:p>
    <w:p w14:paraId="6BEE8CDF">
      <w:pPr>
        <w:pStyle w:val="19"/>
        <w:rPr>
          <w:rFonts w:hint="eastAsia"/>
          <w:color w:val="auto"/>
          <w:highlight w:val="none"/>
        </w:rPr>
      </w:pPr>
      <w:r>
        <w:rPr>
          <w:rFonts w:hint="eastAsia"/>
          <w:color w:val="auto"/>
          <w:highlight w:val="none"/>
        </w:rPr>
        <w:t>地址： 邮政编码：</w:t>
      </w:r>
    </w:p>
    <w:p w14:paraId="399F3E99">
      <w:pPr>
        <w:pStyle w:val="19"/>
        <w:rPr>
          <w:rFonts w:hint="eastAsia"/>
          <w:color w:val="auto"/>
          <w:highlight w:val="none"/>
          <w:u w:val="single"/>
        </w:rPr>
      </w:pPr>
      <w:r>
        <w:rPr>
          <w:rFonts w:hint="eastAsia"/>
          <w:color w:val="auto"/>
          <w:highlight w:val="none"/>
        </w:rPr>
        <w:t>电话：传真：</w:t>
      </w:r>
    </w:p>
    <w:p w14:paraId="2D314987">
      <w:pPr>
        <w:pStyle w:val="19"/>
        <w:rPr>
          <w:rFonts w:hint="eastAsia"/>
          <w:color w:val="auto"/>
          <w:highlight w:val="none"/>
          <w:u w:val="single"/>
        </w:rPr>
      </w:pPr>
      <w:r>
        <w:rPr>
          <w:rFonts w:hint="eastAsia"/>
          <w:color w:val="auto"/>
          <w:highlight w:val="none"/>
        </w:rPr>
        <w:t>开户名称：</w:t>
      </w:r>
    </w:p>
    <w:p w14:paraId="56DE80A1">
      <w:pPr>
        <w:pStyle w:val="19"/>
        <w:rPr>
          <w:rFonts w:hint="eastAsia"/>
          <w:color w:val="auto"/>
          <w:highlight w:val="none"/>
          <w:u w:val="single"/>
        </w:rPr>
      </w:pPr>
      <w:r>
        <w:rPr>
          <w:rFonts w:hint="eastAsia"/>
          <w:color w:val="auto"/>
          <w:highlight w:val="none"/>
        </w:rPr>
        <w:t>开户银行：</w:t>
      </w:r>
    </w:p>
    <w:p w14:paraId="30F9905C">
      <w:pPr>
        <w:pStyle w:val="19"/>
        <w:rPr>
          <w:rFonts w:hint="eastAsia"/>
          <w:color w:val="auto"/>
          <w:highlight w:val="none"/>
          <w:u w:val="single"/>
        </w:rPr>
      </w:pPr>
      <w:r>
        <w:rPr>
          <w:rFonts w:hint="eastAsia"/>
          <w:color w:val="auto"/>
          <w:highlight w:val="none"/>
        </w:rPr>
        <w:t>帐    号：</w:t>
      </w:r>
    </w:p>
    <w:p w14:paraId="7123D42A">
      <w:pPr>
        <w:pStyle w:val="19"/>
        <w:rPr>
          <w:rFonts w:hint="eastAsia"/>
          <w:color w:val="auto"/>
          <w:highlight w:val="none"/>
        </w:rPr>
      </w:pPr>
      <w:r>
        <w:rPr>
          <w:rFonts w:hint="eastAsia"/>
          <w:color w:val="auto"/>
          <w:highlight w:val="none"/>
        </w:rPr>
        <w:t>投标人（电子签章）：</w:t>
      </w:r>
    </w:p>
    <w:p w14:paraId="068F38B0">
      <w:pPr>
        <w:pStyle w:val="19"/>
        <w:rPr>
          <w:rFonts w:hint="eastAsia"/>
          <w:color w:val="auto"/>
          <w:highlight w:val="none"/>
        </w:rPr>
      </w:pPr>
      <w:r>
        <w:rPr>
          <w:rFonts w:hint="eastAsia"/>
          <w:color w:val="auto"/>
          <w:highlight w:val="none"/>
        </w:rPr>
        <w:t>法定代表人（签名或电子签章）：</w:t>
      </w:r>
    </w:p>
    <w:p w14:paraId="3F7E5AEE">
      <w:pPr>
        <w:pStyle w:val="19"/>
        <w:rPr>
          <w:rFonts w:hint="eastAsia"/>
          <w:color w:val="auto"/>
          <w:highlight w:val="none"/>
        </w:rPr>
      </w:pPr>
      <w:r>
        <w:rPr>
          <w:rFonts w:hint="eastAsia"/>
          <w:color w:val="auto"/>
          <w:highlight w:val="none"/>
        </w:rPr>
        <w:t xml:space="preserve">   年       月       日</w:t>
      </w:r>
    </w:p>
    <w:p w14:paraId="6D732FA1">
      <w:pPr>
        <w:pStyle w:val="19"/>
        <w:rPr>
          <w:rFonts w:hint="eastAsia"/>
          <w:color w:val="auto"/>
          <w:highlight w:val="none"/>
        </w:rPr>
        <w:sectPr>
          <w:headerReference r:id="rId9" w:type="first"/>
          <w:pgSz w:w="11906" w:h="16838"/>
          <w:pgMar w:top="1134" w:right="1276" w:bottom="1134" w:left="1276" w:header="680" w:footer="680" w:gutter="0"/>
          <w:cols w:space="720" w:num="1"/>
          <w:titlePg/>
          <w:docGrid w:linePitch="331" w:charSpace="0"/>
        </w:sectPr>
      </w:pPr>
      <w:r>
        <w:rPr>
          <w:color w:val="auto"/>
          <w:highlight w:val="none"/>
        </w:rPr>
        <w:br w:type="page"/>
      </w:r>
    </w:p>
    <w:p w14:paraId="76F72527">
      <w:pPr>
        <w:pStyle w:val="5"/>
        <w:rPr>
          <w:color w:val="auto"/>
          <w:highlight w:val="none"/>
        </w:rPr>
      </w:pPr>
      <w:bookmarkStart w:id="135" w:name="_Toc141099668"/>
      <w:bookmarkStart w:id="136" w:name="_Toc13665021"/>
      <w:bookmarkStart w:id="137" w:name="_Toc101004109"/>
      <w:bookmarkStart w:id="138" w:name="_Toc11461"/>
      <w:bookmarkStart w:id="139" w:name="_Toc493600033"/>
      <w:r>
        <w:rPr>
          <w:rFonts w:hint="eastAsia"/>
          <w:color w:val="auto"/>
          <w:highlight w:val="none"/>
        </w:rPr>
        <w:t>（二）货物报价</w:t>
      </w:r>
      <w:r>
        <w:rPr>
          <w:color w:val="auto"/>
          <w:highlight w:val="none"/>
        </w:rPr>
        <w:t>表</w:t>
      </w:r>
      <w:bookmarkEnd w:id="128"/>
      <w:bookmarkEnd w:id="135"/>
      <w:bookmarkEnd w:id="136"/>
      <w:bookmarkEnd w:id="137"/>
      <w:bookmarkEnd w:id="138"/>
      <w:bookmarkEnd w:id="139"/>
    </w:p>
    <w:p w14:paraId="2AD1F829">
      <w:pPr>
        <w:pStyle w:val="19"/>
        <w:rPr>
          <w:rFonts w:hint="eastAsia"/>
          <w:color w:val="auto"/>
          <w:highlight w:val="none"/>
        </w:rPr>
      </w:pPr>
      <w:r>
        <w:rPr>
          <w:rFonts w:hint="eastAsia"/>
          <w:color w:val="auto"/>
          <w:highlight w:val="none"/>
        </w:rPr>
        <w:t>项目名称</w:t>
      </w:r>
      <w:r>
        <w:rPr>
          <w:color w:val="auto"/>
          <w:highlight w:val="none"/>
        </w:rPr>
        <w:t>：</w:t>
      </w:r>
      <w:r>
        <w:rPr>
          <w:rFonts w:hint="eastAsia"/>
          <w:color w:val="auto"/>
          <w:highlight w:val="none"/>
          <w:lang w:eastAsia="zh-CN"/>
        </w:rPr>
        <w:t>怒江州中医医院心肺康复设备采购项目</w:t>
      </w:r>
      <w:r>
        <w:rPr>
          <w:color w:val="auto"/>
          <w:highlight w:val="none"/>
        </w:rPr>
        <w:t xml:space="preserve">                     </w:t>
      </w:r>
    </w:p>
    <w:p w14:paraId="02593824">
      <w:pPr>
        <w:pStyle w:val="19"/>
        <w:rPr>
          <w:rFonts w:hint="eastAsia" w:eastAsia="宋体"/>
          <w:color w:val="auto"/>
          <w:highlight w:val="none"/>
          <w:u w:val="single"/>
          <w:lang w:eastAsia="zh-CN"/>
        </w:rPr>
      </w:pPr>
      <w:r>
        <w:rPr>
          <w:color w:val="auto"/>
          <w:highlight w:val="none"/>
        </w:rPr>
        <w:t>项目编号：</w:t>
      </w:r>
      <w:r>
        <w:rPr>
          <w:rFonts w:hint="eastAsia"/>
          <w:color w:val="auto"/>
          <w:highlight w:val="none"/>
          <w:lang w:eastAsia="zh-CN"/>
        </w:rPr>
        <w:t xml:space="preserve"> NJZC2025-G1-00360-YZGF-1037</w:t>
      </w:r>
    </w:p>
    <w:p w14:paraId="33CB7101">
      <w:pPr>
        <w:rPr>
          <w:rFonts w:hint="eastAsia" w:ascii="宋体" w:hAnsi="宋体"/>
          <w:vanish/>
          <w:color w:val="auto"/>
          <w:highlight w:val="none"/>
        </w:rPr>
      </w:pPr>
    </w:p>
    <w:tbl>
      <w:tblPr>
        <w:tblStyle w:val="33"/>
        <w:tblW w:w="14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63"/>
        <w:gridCol w:w="2282"/>
        <w:gridCol w:w="1485"/>
        <w:gridCol w:w="1019"/>
        <w:gridCol w:w="1134"/>
        <w:gridCol w:w="1559"/>
        <w:gridCol w:w="1701"/>
        <w:gridCol w:w="993"/>
        <w:gridCol w:w="1417"/>
        <w:gridCol w:w="1843"/>
        <w:gridCol w:w="567"/>
      </w:tblGrid>
      <w:tr w14:paraId="4E1E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4" w:hRule="atLeast"/>
          <w:jc w:val="center"/>
        </w:trPr>
        <w:tc>
          <w:tcPr>
            <w:tcW w:w="763" w:type="dxa"/>
            <w:vAlign w:val="center"/>
          </w:tcPr>
          <w:p w14:paraId="1EBB087D">
            <w:pPr>
              <w:widowControl/>
              <w:jc w:val="center"/>
              <w:rPr>
                <w:rFonts w:hint="eastAsia" w:ascii="宋体" w:hAnsi="宋体"/>
                <w:color w:val="auto"/>
                <w:szCs w:val="21"/>
                <w:highlight w:val="none"/>
              </w:rPr>
            </w:pPr>
            <w:r>
              <w:rPr>
                <w:rFonts w:ascii="宋体" w:hAnsi="宋体"/>
                <w:color w:val="auto"/>
                <w:szCs w:val="21"/>
                <w:highlight w:val="none"/>
              </w:rPr>
              <w:t>序号</w:t>
            </w:r>
          </w:p>
        </w:tc>
        <w:tc>
          <w:tcPr>
            <w:tcW w:w="2282" w:type="dxa"/>
            <w:vAlign w:val="center"/>
          </w:tcPr>
          <w:p w14:paraId="084154B7">
            <w:pPr>
              <w:widowControl/>
              <w:jc w:val="center"/>
              <w:rPr>
                <w:rFonts w:hint="eastAsia" w:ascii="宋体" w:hAnsi="宋体"/>
                <w:color w:val="auto"/>
                <w:szCs w:val="21"/>
                <w:highlight w:val="none"/>
              </w:rPr>
            </w:pPr>
            <w:r>
              <w:rPr>
                <w:rFonts w:hint="eastAsia" w:ascii="宋体" w:hAnsi="宋体"/>
                <w:color w:val="auto"/>
                <w:szCs w:val="21"/>
                <w:highlight w:val="none"/>
              </w:rPr>
              <w:t>设备名称</w:t>
            </w:r>
          </w:p>
        </w:tc>
        <w:tc>
          <w:tcPr>
            <w:tcW w:w="1485" w:type="dxa"/>
            <w:vAlign w:val="center"/>
          </w:tcPr>
          <w:p w14:paraId="4D5BB7E3">
            <w:pPr>
              <w:widowControl/>
              <w:jc w:val="center"/>
              <w:rPr>
                <w:rFonts w:hint="eastAsia" w:ascii="宋体" w:hAnsi="宋体"/>
                <w:color w:val="auto"/>
                <w:szCs w:val="21"/>
                <w:highlight w:val="none"/>
              </w:rPr>
            </w:pPr>
            <w:r>
              <w:rPr>
                <w:rFonts w:ascii="宋体" w:hAnsi="宋体"/>
                <w:color w:val="auto"/>
                <w:szCs w:val="21"/>
                <w:highlight w:val="none"/>
              </w:rPr>
              <w:t>制造商名称</w:t>
            </w:r>
            <w:r>
              <w:rPr>
                <w:rFonts w:hint="eastAsia" w:ascii="宋体" w:hAnsi="宋体"/>
                <w:color w:val="auto"/>
                <w:szCs w:val="21"/>
                <w:highlight w:val="none"/>
              </w:rPr>
              <w:t>、</w:t>
            </w:r>
            <w:r>
              <w:rPr>
                <w:rFonts w:ascii="宋体" w:hAnsi="宋体"/>
                <w:color w:val="auto"/>
                <w:szCs w:val="21"/>
                <w:highlight w:val="none"/>
              </w:rPr>
              <w:t>国别</w:t>
            </w:r>
          </w:p>
        </w:tc>
        <w:tc>
          <w:tcPr>
            <w:tcW w:w="1019" w:type="dxa"/>
            <w:vAlign w:val="center"/>
          </w:tcPr>
          <w:p w14:paraId="52AA5D46">
            <w:pPr>
              <w:widowControl/>
              <w:jc w:val="center"/>
              <w:rPr>
                <w:rFonts w:hint="eastAsia" w:ascii="宋体" w:hAnsi="宋体"/>
                <w:color w:val="auto"/>
                <w:szCs w:val="21"/>
                <w:highlight w:val="none"/>
              </w:rPr>
            </w:pPr>
            <w:r>
              <w:rPr>
                <w:rFonts w:hint="eastAsia" w:ascii="宋体" w:hAnsi="宋体"/>
                <w:color w:val="auto"/>
                <w:szCs w:val="21"/>
                <w:highlight w:val="none"/>
              </w:rPr>
              <w:t>品牌</w:t>
            </w:r>
          </w:p>
        </w:tc>
        <w:tc>
          <w:tcPr>
            <w:tcW w:w="1134" w:type="dxa"/>
            <w:vAlign w:val="center"/>
          </w:tcPr>
          <w:p w14:paraId="6CC93027">
            <w:pPr>
              <w:widowControl/>
              <w:jc w:val="center"/>
              <w:rPr>
                <w:rFonts w:hint="eastAsia" w:ascii="宋体" w:hAnsi="宋体"/>
                <w:color w:val="auto"/>
                <w:szCs w:val="21"/>
                <w:highlight w:val="none"/>
              </w:rPr>
            </w:pPr>
            <w:r>
              <w:rPr>
                <w:rFonts w:ascii="宋体" w:hAnsi="宋体"/>
                <w:color w:val="auto"/>
                <w:szCs w:val="21"/>
                <w:highlight w:val="none"/>
              </w:rPr>
              <w:t>型号和规格</w:t>
            </w:r>
          </w:p>
        </w:tc>
        <w:tc>
          <w:tcPr>
            <w:tcW w:w="1559" w:type="dxa"/>
            <w:vAlign w:val="center"/>
          </w:tcPr>
          <w:p w14:paraId="7D492D51">
            <w:pPr>
              <w:widowControl/>
              <w:jc w:val="center"/>
              <w:rPr>
                <w:rFonts w:hint="eastAsia" w:ascii="宋体" w:hAnsi="宋体"/>
                <w:color w:val="auto"/>
                <w:szCs w:val="21"/>
                <w:highlight w:val="none"/>
              </w:rPr>
            </w:pPr>
            <w:r>
              <w:rPr>
                <w:rFonts w:hint="eastAsia" w:ascii="宋体" w:hAnsi="宋体"/>
                <w:color w:val="auto"/>
                <w:szCs w:val="21"/>
                <w:highlight w:val="none"/>
              </w:rPr>
              <w:t>医疗器械注册证号</w:t>
            </w:r>
          </w:p>
        </w:tc>
        <w:tc>
          <w:tcPr>
            <w:tcW w:w="1701" w:type="dxa"/>
            <w:vAlign w:val="center"/>
          </w:tcPr>
          <w:p w14:paraId="7B5C8504">
            <w:pPr>
              <w:widowControl/>
              <w:jc w:val="center"/>
              <w:rPr>
                <w:rFonts w:hint="eastAsia" w:ascii="宋体" w:hAnsi="宋体"/>
                <w:color w:val="auto"/>
                <w:szCs w:val="21"/>
                <w:highlight w:val="none"/>
              </w:rPr>
            </w:pPr>
            <w:r>
              <w:rPr>
                <w:rFonts w:hint="eastAsia" w:ascii="宋体" w:hAnsi="宋体"/>
                <w:color w:val="auto"/>
                <w:szCs w:val="21"/>
                <w:highlight w:val="none"/>
              </w:rPr>
              <w:t>制造商规模类型</w:t>
            </w:r>
          </w:p>
        </w:tc>
        <w:tc>
          <w:tcPr>
            <w:tcW w:w="993" w:type="dxa"/>
            <w:vAlign w:val="center"/>
          </w:tcPr>
          <w:p w14:paraId="2767EFC1">
            <w:pPr>
              <w:jc w:val="center"/>
              <w:rPr>
                <w:rFonts w:hint="eastAsia" w:ascii="宋体" w:hAnsi="宋体"/>
                <w:color w:val="auto"/>
                <w:szCs w:val="21"/>
                <w:highlight w:val="none"/>
              </w:rPr>
            </w:pPr>
            <w:r>
              <w:rPr>
                <w:rFonts w:hint="eastAsia" w:ascii="宋体" w:hAnsi="宋体"/>
                <w:color w:val="auto"/>
                <w:szCs w:val="21"/>
                <w:highlight w:val="none"/>
              </w:rPr>
              <w:t>数量</w:t>
            </w:r>
          </w:p>
          <w:p w14:paraId="596577FC">
            <w:pPr>
              <w:jc w:val="center"/>
              <w:rPr>
                <w:rFonts w:hint="eastAsia" w:ascii="宋体" w:hAnsi="宋体"/>
                <w:color w:val="auto"/>
                <w:szCs w:val="21"/>
                <w:highlight w:val="none"/>
              </w:rPr>
            </w:pPr>
            <w:r>
              <w:rPr>
                <w:rFonts w:hint="eastAsia" w:ascii="宋体" w:hAnsi="宋体"/>
                <w:color w:val="auto"/>
                <w:szCs w:val="21"/>
                <w:highlight w:val="none"/>
              </w:rPr>
              <w:t>（1）</w:t>
            </w:r>
          </w:p>
        </w:tc>
        <w:tc>
          <w:tcPr>
            <w:tcW w:w="1417" w:type="dxa"/>
            <w:vAlign w:val="center"/>
          </w:tcPr>
          <w:p w14:paraId="24B8D338">
            <w:pPr>
              <w:widowControl/>
              <w:jc w:val="center"/>
              <w:rPr>
                <w:rFonts w:hint="eastAsia" w:ascii="宋体" w:hAnsi="宋体"/>
                <w:color w:val="auto"/>
                <w:szCs w:val="21"/>
                <w:highlight w:val="none"/>
              </w:rPr>
            </w:pPr>
            <w:r>
              <w:rPr>
                <w:rFonts w:hint="eastAsia" w:ascii="宋体" w:hAnsi="宋体"/>
                <w:color w:val="auto"/>
                <w:szCs w:val="21"/>
                <w:highlight w:val="none"/>
              </w:rPr>
              <w:t>单价（元）</w:t>
            </w:r>
          </w:p>
          <w:p w14:paraId="618BC88F">
            <w:pPr>
              <w:jc w:val="center"/>
              <w:rPr>
                <w:rFonts w:hint="eastAsia" w:ascii="宋体" w:hAnsi="宋体"/>
                <w:color w:val="auto"/>
                <w:szCs w:val="21"/>
                <w:highlight w:val="none"/>
              </w:rPr>
            </w:pPr>
            <w:r>
              <w:rPr>
                <w:rFonts w:hint="eastAsia" w:ascii="宋体" w:hAnsi="宋体"/>
                <w:color w:val="auto"/>
                <w:szCs w:val="21"/>
                <w:highlight w:val="none"/>
              </w:rPr>
              <w:t>（2）</w:t>
            </w:r>
          </w:p>
        </w:tc>
        <w:tc>
          <w:tcPr>
            <w:tcW w:w="1843" w:type="dxa"/>
            <w:vAlign w:val="center"/>
          </w:tcPr>
          <w:p w14:paraId="4A99FF26">
            <w:pPr>
              <w:jc w:val="center"/>
              <w:rPr>
                <w:rFonts w:hint="eastAsia" w:ascii="宋体" w:hAnsi="宋体"/>
                <w:color w:val="auto"/>
                <w:szCs w:val="21"/>
                <w:highlight w:val="none"/>
              </w:rPr>
            </w:pPr>
            <w:r>
              <w:rPr>
                <w:rFonts w:hint="eastAsia" w:ascii="宋体" w:hAnsi="宋体"/>
                <w:color w:val="auto"/>
                <w:szCs w:val="21"/>
                <w:highlight w:val="none"/>
              </w:rPr>
              <w:t>合计（元）</w:t>
            </w:r>
          </w:p>
          <w:p w14:paraId="10DE2F8C">
            <w:pPr>
              <w:widowControl/>
              <w:jc w:val="center"/>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p>
        </w:tc>
        <w:tc>
          <w:tcPr>
            <w:tcW w:w="567" w:type="dxa"/>
            <w:vAlign w:val="center"/>
          </w:tcPr>
          <w:p w14:paraId="36D2C010">
            <w:pPr>
              <w:widowControl/>
              <w:jc w:val="center"/>
              <w:rPr>
                <w:rFonts w:hint="eastAsia" w:ascii="宋体" w:hAnsi="宋体"/>
                <w:color w:val="auto"/>
                <w:szCs w:val="21"/>
                <w:highlight w:val="none"/>
              </w:rPr>
            </w:pPr>
            <w:r>
              <w:rPr>
                <w:rFonts w:ascii="宋体" w:hAnsi="宋体"/>
                <w:color w:val="auto"/>
                <w:szCs w:val="21"/>
                <w:highlight w:val="none"/>
              </w:rPr>
              <w:t>备注</w:t>
            </w:r>
          </w:p>
        </w:tc>
      </w:tr>
      <w:tr w14:paraId="6727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487CF42">
            <w:pPr>
              <w:widowControl/>
              <w:jc w:val="center"/>
              <w:rPr>
                <w:rFonts w:hint="eastAsia" w:ascii="宋体" w:hAnsi="宋体"/>
                <w:color w:val="auto"/>
                <w:szCs w:val="21"/>
                <w:highlight w:val="none"/>
              </w:rPr>
            </w:pPr>
            <w:r>
              <w:rPr>
                <w:rFonts w:hint="eastAsia" w:ascii="宋体" w:hAnsi="宋体"/>
                <w:color w:val="auto"/>
                <w:szCs w:val="21"/>
                <w:highlight w:val="none"/>
              </w:rPr>
              <w:t>1</w:t>
            </w:r>
          </w:p>
        </w:tc>
        <w:tc>
          <w:tcPr>
            <w:tcW w:w="2282" w:type="dxa"/>
            <w:vAlign w:val="center"/>
          </w:tcPr>
          <w:p w14:paraId="3926DED5">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运动心肺功能测试系统（包括肺功能）</w:t>
            </w:r>
          </w:p>
        </w:tc>
        <w:tc>
          <w:tcPr>
            <w:tcW w:w="1485" w:type="dxa"/>
            <w:vAlign w:val="center"/>
          </w:tcPr>
          <w:p w14:paraId="233F72A3">
            <w:pPr>
              <w:widowControl/>
              <w:jc w:val="center"/>
              <w:rPr>
                <w:rFonts w:hint="eastAsia" w:ascii="宋体" w:hAnsi="宋体"/>
                <w:color w:val="auto"/>
                <w:szCs w:val="21"/>
                <w:highlight w:val="none"/>
              </w:rPr>
            </w:pPr>
          </w:p>
        </w:tc>
        <w:tc>
          <w:tcPr>
            <w:tcW w:w="1019" w:type="dxa"/>
            <w:vAlign w:val="center"/>
          </w:tcPr>
          <w:p w14:paraId="541DA836">
            <w:pPr>
              <w:widowControl/>
              <w:jc w:val="center"/>
              <w:rPr>
                <w:rFonts w:hint="eastAsia" w:ascii="宋体" w:hAnsi="宋体"/>
                <w:color w:val="auto"/>
                <w:szCs w:val="21"/>
                <w:highlight w:val="none"/>
              </w:rPr>
            </w:pPr>
          </w:p>
        </w:tc>
        <w:tc>
          <w:tcPr>
            <w:tcW w:w="1134" w:type="dxa"/>
            <w:vAlign w:val="center"/>
          </w:tcPr>
          <w:p w14:paraId="10CB0705">
            <w:pPr>
              <w:widowControl/>
              <w:jc w:val="center"/>
              <w:rPr>
                <w:rFonts w:hint="eastAsia" w:ascii="宋体" w:hAnsi="宋体"/>
                <w:color w:val="auto"/>
                <w:szCs w:val="21"/>
                <w:highlight w:val="none"/>
              </w:rPr>
            </w:pPr>
          </w:p>
        </w:tc>
        <w:tc>
          <w:tcPr>
            <w:tcW w:w="1559" w:type="dxa"/>
            <w:vAlign w:val="center"/>
          </w:tcPr>
          <w:p w14:paraId="57D917C4">
            <w:pPr>
              <w:widowControl/>
              <w:jc w:val="center"/>
              <w:rPr>
                <w:rFonts w:hint="eastAsia" w:ascii="宋体" w:hAnsi="宋体"/>
                <w:color w:val="auto"/>
                <w:szCs w:val="21"/>
                <w:highlight w:val="none"/>
              </w:rPr>
            </w:pPr>
          </w:p>
        </w:tc>
        <w:tc>
          <w:tcPr>
            <w:tcW w:w="1701" w:type="dxa"/>
            <w:vAlign w:val="center"/>
          </w:tcPr>
          <w:p w14:paraId="3E71A8F3">
            <w:pPr>
              <w:widowControl/>
              <w:jc w:val="center"/>
              <w:rPr>
                <w:rFonts w:hint="eastAsia" w:ascii="宋体" w:hAnsi="宋体"/>
                <w:color w:val="auto"/>
                <w:szCs w:val="21"/>
                <w:highlight w:val="none"/>
              </w:rPr>
            </w:pPr>
          </w:p>
        </w:tc>
        <w:tc>
          <w:tcPr>
            <w:tcW w:w="993" w:type="dxa"/>
            <w:vAlign w:val="center"/>
          </w:tcPr>
          <w:p w14:paraId="296B379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11405002">
            <w:pPr>
              <w:widowControl/>
              <w:jc w:val="center"/>
              <w:rPr>
                <w:rFonts w:hint="eastAsia" w:ascii="宋体" w:hAnsi="宋体"/>
                <w:color w:val="auto"/>
                <w:szCs w:val="21"/>
                <w:highlight w:val="none"/>
              </w:rPr>
            </w:pPr>
          </w:p>
        </w:tc>
        <w:tc>
          <w:tcPr>
            <w:tcW w:w="1843" w:type="dxa"/>
            <w:vAlign w:val="center"/>
          </w:tcPr>
          <w:p w14:paraId="6B4A2062">
            <w:pPr>
              <w:widowControl/>
              <w:jc w:val="center"/>
              <w:rPr>
                <w:rFonts w:hint="eastAsia" w:ascii="宋体" w:hAnsi="宋体"/>
                <w:color w:val="auto"/>
                <w:szCs w:val="21"/>
                <w:highlight w:val="none"/>
              </w:rPr>
            </w:pPr>
          </w:p>
        </w:tc>
        <w:tc>
          <w:tcPr>
            <w:tcW w:w="567" w:type="dxa"/>
            <w:vAlign w:val="center"/>
          </w:tcPr>
          <w:p w14:paraId="15C950A2">
            <w:pPr>
              <w:widowControl/>
              <w:jc w:val="center"/>
              <w:rPr>
                <w:rFonts w:hint="eastAsia" w:ascii="宋体" w:hAnsi="宋体"/>
                <w:color w:val="auto"/>
                <w:szCs w:val="21"/>
                <w:highlight w:val="none"/>
              </w:rPr>
            </w:pPr>
          </w:p>
        </w:tc>
      </w:tr>
      <w:tr w14:paraId="6472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ABB2A0B">
            <w:pPr>
              <w:widowControl/>
              <w:jc w:val="center"/>
              <w:rPr>
                <w:rFonts w:hint="eastAsia" w:ascii="宋体" w:hAnsi="宋体"/>
                <w:color w:val="auto"/>
                <w:szCs w:val="21"/>
                <w:highlight w:val="none"/>
              </w:rPr>
            </w:pPr>
            <w:r>
              <w:rPr>
                <w:rFonts w:hint="eastAsia" w:ascii="宋体" w:hAnsi="宋体"/>
                <w:color w:val="auto"/>
                <w:szCs w:val="21"/>
                <w:highlight w:val="none"/>
              </w:rPr>
              <w:t>2</w:t>
            </w:r>
          </w:p>
        </w:tc>
        <w:tc>
          <w:tcPr>
            <w:tcW w:w="2282" w:type="dxa"/>
            <w:vAlign w:val="center"/>
          </w:tcPr>
          <w:p w14:paraId="348217F2">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6分钟步行试验系统（多导）</w:t>
            </w:r>
          </w:p>
        </w:tc>
        <w:tc>
          <w:tcPr>
            <w:tcW w:w="1485" w:type="dxa"/>
            <w:vAlign w:val="center"/>
          </w:tcPr>
          <w:p w14:paraId="7E2A6271">
            <w:pPr>
              <w:widowControl/>
              <w:jc w:val="center"/>
              <w:rPr>
                <w:rFonts w:hint="eastAsia" w:ascii="宋体" w:hAnsi="宋体"/>
                <w:color w:val="auto"/>
                <w:szCs w:val="21"/>
                <w:highlight w:val="none"/>
              </w:rPr>
            </w:pPr>
          </w:p>
        </w:tc>
        <w:tc>
          <w:tcPr>
            <w:tcW w:w="1019" w:type="dxa"/>
            <w:vAlign w:val="center"/>
          </w:tcPr>
          <w:p w14:paraId="12CDC1FE">
            <w:pPr>
              <w:widowControl/>
              <w:jc w:val="center"/>
              <w:rPr>
                <w:rFonts w:hint="eastAsia" w:ascii="宋体" w:hAnsi="宋体"/>
                <w:color w:val="auto"/>
                <w:szCs w:val="21"/>
                <w:highlight w:val="none"/>
              </w:rPr>
            </w:pPr>
          </w:p>
        </w:tc>
        <w:tc>
          <w:tcPr>
            <w:tcW w:w="1134" w:type="dxa"/>
            <w:vAlign w:val="center"/>
          </w:tcPr>
          <w:p w14:paraId="6B858FB5">
            <w:pPr>
              <w:widowControl/>
              <w:jc w:val="center"/>
              <w:rPr>
                <w:rFonts w:hint="eastAsia" w:ascii="宋体" w:hAnsi="宋体"/>
                <w:color w:val="auto"/>
                <w:szCs w:val="21"/>
                <w:highlight w:val="none"/>
              </w:rPr>
            </w:pPr>
          </w:p>
        </w:tc>
        <w:tc>
          <w:tcPr>
            <w:tcW w:w="1559" w:type="dxa"/>
            <w:vAlign w:val="center"/>
          </w:tcPr>
          <w:p w14:paraId="3A1D6177">
            <w:pPr>
              <w:widowControl/>
              <w:jc w:val="center"/>
              <w:rPr>
                <w:rFonts w:hint="eastAsia" w:ascii="宋体" w:hAnsi="宋体"/>
                <w:color w:val="auto"/>
                <w:szCs w:val="21"/>
                <w:highlight w:val="none"/>
              </w:rPr>
            </w:pPr>
          </w:p>
        </w:tc>
        <w:tc>
          <w:tcPr>
            <w:tcW w:w="1701" w:type="dxa"/>
            <w:vAlign w:val="center"/>
          </w:tcPr>
          <w:p w14:paraId="000E8B72">
            <w:pPr>
              <w:widowControl/>
              <w:jc w:val="center"/>
              <w:rPr>
                <w:rFonts w:hint="eastAsia" w:ascii="宋体" w:hAnsi="宋体"/>
                <w:color w:val="auto"/>
                <w:szCs w:val="21"/>
                <w:highlight w:val="none"/>
              </w:rPr>
            </w:pPr>
          </w:p>
        </w:tc>
        <w:tc>
          <w:tcPr>
            <w:tcW w:w="993" w:type="dxa"/>
            <w:vAlign w:val="center"/>
          </w:tcPr>
          <w:p w14:paraId="0CE01542">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32212499">
            <w:pPr>
              <w:widowControl/>
              <w:jc w:val="center"/>
              <w:rPr>
                <w:rFonts w:hint="eastAsia" w:ascii="宋体" w:hAnsi="宋体"/>
                <w:color w:val="auto"/>
                <w:szCs w:val="21"/>
                <w:highlight w:val="none"/>
              </w:rPr>
            </w:pPr>
          </w:p>
        </w:tc>
        <w:tc>
          <w:tcPr>
            <w:tcW w:w="1843" w:type="dxa"/>
            <w:vAlign w:val="center"/>
          </w:tcPr>
          <w:p w14:paraId="15D3C63D">
            <w:pPr>
              <w:widowControl/>
              <w:jc w:val="center"/>
              <w:rPr>
                <w:rFonts w:hint="eastAsia" w:ascii="宋体" w:hAnsi="宋体"/>
                <w:color w:val="auto"/>
                <w:szCs w:val="21"/>
                <w:highlight w:val="none"/>
              </w:rPr>
            </w:pPr>
          </w:p>
        </w:tc>
        <w:tc>
          <w:tcPr>
            <w:tcW w:w="567" w:type="dxa"/>
            <w:vAlign w:val="center"/>
          </w:tcPr>
          <w:p w14:paraId="1826895C">
            <w:pPr>
              <w:widowControl/>
              <w:jc w:val="center"/>
              <w:rPr>
                <w:rFonts w:hint="eastAsia" w:ascii="宋体" w:hAnsi="宋体"/>
                <w:color w:val="auto"/>
                <w:szCs w:val="21"/>
                <w:highlight w:val="none"/>
              </w:rPr>
            </w:pPr>
          </w:p>
        </w:tc>
      </w:tr>
      <w:tr w14:paraId="4EF2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524EA17F">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2282" w:type="dxa"/>
            <w:vAlign w:val="center"/>
          </w:tcPr>
          <w:p w14:paraId="4F091CFB">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呼气分析仪（一氧化氮分析仪）</w:t>
            </w:r>
          </w:p>
        </w:tc>
        <w:tc>
          <w:tcPr>
            <w:tcW w:w="1485" w:type="dxa"/>
            <w:vAlign w:val="center"/>
          </w:tcPr>
          <w:p w14:paraId="3A4629BB">
            <w:pPr>
              <w:widowControl/>
              <w:jc w:val="center"/>
              <w:rPr>
                <w:rFonts w:hint="eastAsia" w:ascii="宋体" w:hAnsi="宋体"/>
                <w:color w:val="auto"/>
                <w:szCs w:val="21"/>
                <w:highlight w:val="none"/>
              </w:rPr>
            </w:pPr>
          </w:p>
        </w:tc>
        <w:tc>
          <w:tcPr>
            <w:tcW w:w="1019" w:type="dxa"/>
            <w:vAlign w:val="center"/>
          </w:tcPr>
          <w:p w14:paraId="11306C66">
            <w:pPr>
              <w:widowControl/>
              <w:jc w:val="center"/>
              <w:rPr>
                <w:rFonts w:hint="eastAsia" w:ascii="宋体" w:hAnsi="宋体"/>
                <w:color w:val="auto"/>
                <w:szCs w:val="21"/>
                <w:highlight w:val="none"/>
              </w:rPr>
            </w:pPr>
          </w:p>
        </w:tc>
        <w:tc>
          <w:tcPr>
            <w:tcW w:w="1134" w:type="dxa"/>
            <w:vAlign w:val="center"/>
          </w:tcPr>
          <w:p w14:paraId="632A84DE">
            <w:pPr>
              <w:widowControl/>
              <w:jc w:val="center"/>
              <w:rPr>
                <w:rFonts w:hint="eastAsia" w:ascii="宋体" w:hAnsi="宋体"/>
                <w:color w:val="auto"/>
                <w:szCs w:val="21"/>
                <w:highlight w:val="none"/>
              </w:rPr>
            </w:pPr>
          </w:p>
        </w:tc>
        <w:tc>
          <w:tcPr>
            <w:tcW w:w="1559" w:type="dxa"/>
            <w:vAlign w:val="center"/>
          </w:tcPr>
          <w:p w14:paraId="79E15098">
            <w:pPr>
              <w:widowControl/>
              <w:jc w:val="center"/>
              <w:rPr>
                <w:rFonts w:hint="eastAsia" w:ascii="宋体" w:hAnsi="宋体"/>
                <w:color w:val="auto"/>
                <w:szCs w:val="21"/>
                <w:highlight w:val="none"/>
              </w:rPr>
            </w:pPr>
          </w:p>
        </w:tc>
        <w:tc>
          <w:tcPr>
            <w:tcW w:w="1701" w:type="dxa"/>
            <w:vAlign w:val="center"/>
          </w:tcPr>
          <w:p w14:paraId="63ACC4DC">
            <w:pPr>
              <w:widowControl/>
              <w:jc w:val="center"/>
              <w:rPr>
                <w:rFonts w:hint="eastAsia" w:ascii="宋体" w:hAnsi="宋体"/>
                <w:color w:val="auto"/>
                <w:szCs w:val="21"/>
                <w:highlight w:val="none"/>
              </w:rPr>
            </w:pPr>
          </w:p>
        </w:tc>
        <w:tc>
          <w:tcPr>
            <w:tcW w:w="993" w:type="dxa"/>
            <w:vAlign w:val="center"/>
          </w:tcPr>
          <w:p w14:paraId="69637A81">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43C5CD2">
            <w:pPr>
              <w:widowControl/>
              <w:jc w:val="center"/>
              <w:rPr>
                <w:rFonts w:hint="eastAsia" w:ascii="宋体" w:hAnsi="宋体"/>
                <w:color w:val="auto"/>
                <w:szCs w:val="21"/>
                <w:highlight w:val="none"/>
              </w:rPr>
            </w:pPr>
          </w:p>
        </w:tc>
        <w:tc>
          <w:tcPr>
            <w:tcW w:w="1843" w:type="dxa"/>
            <w:vAlign w:val="center"/>
          </w:tcPr>
          <w:p w14:paraId="67ABED5B">
            <w:pPr>
              <w:widowControl/>
              <w:jc w:val="center"/>
              <w:rPr>
                <w:rFonts w:hint="eastAsia" w:ascii="宋体" w:hAnsi="宋体"/>
                <w:color w:val="auto"/>
                <w:szCs w:val="21"/>
                <w:highlight w:val="none"/>
              </w:rPr>
            </w:pPr>
          </w:p>
        </w:tc>
        <w:tc>
          <w:tcPr>
            <w:tcW w:w="567" w:type="dxa"/>
            <w:vAlign w:val="center"/>
          </w:tcPr>
          <w:p w14:paraId="1898177F">
            <w:pPr>
              <w:widowControl/>
              <w:jc w:val="center"/>
              <w:rPr>
                <w:rFonts w:hint="eastAsia" w:ascii="宋体" w:hAnsi="宋体"/>
                <w:color w:val="auto"/>
                <w:szCs w:val="21"/>
                <w:highlight w:val="none"/>
              </w:rPr>
            </w:pPr>
          </w:p>
        </w:tc>
      </w:tr>
      <w:tr w14:paraId="0654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A22F75C">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p>
        </w:tc>
        <w:tc>
          <w:tcPr>
            <w:tcW w:w="2282" w:type="dxa"/>
            <w:vAlign w:val="center"/>
          </w:tcPr>
          <w:p w14:paraId="39C23268">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人体成分测试仪</w:t>
            </w:r>
          </w:p>
        </w:tc>
        <w:tc>
          <w:tcPr>
            <w:tcW w:w="1485" w:type="dxa"/>
            <w:vAlign w:val="center"/>
          </w:tcPr>
          <w:p w14:paraId="47D23E63">
            <w:pPr>
              <w:widowControl/>
              <w:jc w:val="center"/>
              <w:rPr>
                <w:rFonts w:hint="eastAsia" w:ascii="宋体" w:hAnsi="宋体"/>
                <w:color w:val="auto"/>
                <w:szCs w:val="21"/>
                <w:highlight w:val="none"/>
              </w:rPr>
            </w:pPr>
          </w:p>
        </w:tc>
        <w:tc>
          <w:tcPr>
            <w:tcW w:w="1019" w:type="dxa"/>
            <w:vAlign w:val="center"/>
          </w:tcPr>
          <w:p w14:paraId="1548BB9D">
            <w:pPr>
              <w:widowControl/>
              <w:jc w:val="center"/>
              <w:rPr>
                <w:rFonts w:hint="eastAsia" w:ascii="宋体" w:hAnsi="宋体"/>
                <w:color w:val="auto"/>
                <w:szCs w:val="21"/>
                <w:highlight w:val="none"/>
              </w:rPr>
            </w:pPr>
          </w:p>
        </w:tc>
        <w:tc>
          <w:tcPr>
            <w:tcW w:w="1134" w:type="dxa"/>
            <w:vAlign w:val="center"/>
          </w:tcPr>
          <w:p w14:paraId="44A5CB77">
            <w:pPr>
              <w:widowControl/>
              <w:jc w:val="center"/>
              <w:rPr>
                <w:rFonts w:hint="eastAsia" w:ascii="宋体" w:hAnsi="宋体"/>
                <w:color w:val="auto"/>
                <w:szCs w:val="21"/>
                <w:highlight w:val="none"/>
              </w:rPr>
            </w:pPr>
          </w:p>
        </w:tc>
        <w:tc>
          <w:tcPr>
            <w:tcW w:w="1559" w:type="dxa"/>
            <w:vAlign w:val="center"/>
          </w:tcPr>
          <w:p w14:paraId="30227E33">
            <w:pPr>
              <w:widowControl/>
              <w:jc w:val="center"/>
              <w:rPr>
                <w:rFonts w:hint="eastAsia" w:ascii="宋体" w:hAnsi="宋体"/>
                <w:color w:val="auto"/>
                <w:szCs w:val="21"/>
                <w:highlight w:val="none"/>
              </w:rPr>
            </w:pPr>
          </w:p>
        </w:tc>
        <w:tc>
          <w:tcPr>
            <w:tcW w:w="1701" w:type="dxa"/>
            <w:vAlign w:val="center"/>
          </w:tcPr>
          <w:p w14:paraId="3102C558">
            <w:pPr>
              <w:widowControl/>
              <w:jc w:val="center"/>
              <w:rPr>
                <w:rFonts w:hint="eastAsia" w:ascii="宋体" w:hAnsi="宋体"/>
                <w:color w:val="auto"/>
                <w:szCs w:val="21"/>
                <w:highlight w:val="none"/>
              </w:rPr>
            </w:pPr>
          </w:p>
        </w:tc>
        <w:tc>
          <w:tcPr>
            <w:tcW w:w="993" w:type="dxa"/>
            <w:vAlign w:val="center"/>
          </w:tcPr>
          <w:p w14:paraId="2006C71D">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F8FCC57">
            <w:pPr>
              <w:widowControl/>
              <w:jc w:val="center"/>
              <w:rPr>
                <w:rFonts w:hint="eastAsia" w:ascii="宋体" w:hAnsi="宋体"/>
                <w:color w:val="auto"/>
                <w:szCs w:val="21"/>
                <w:highlight w:val="none"/>
              </w:rPr>
            </w:pPr>
          </w:p>
        </w:tc>
        <w:tc>
          <w:tcPr>
            <w:tcW w:w="1843" w:type="dxa"/>
            <w:vAlign w:val="center"/>
          </w:tcPr>
          <w:p w14:paraId="2E956599">
            <w:pPr>
              <w:widowControl/>
              <w:jc w:val="center"/>
              <w:rPr>
                <w:rFonts w:hint="eastAsia" w:ascii="宋体" w:hAnsi="宋体"/>
                <w:color w:val="auto"/>
                <w:szCs w:val="21"/>
                <w:highlight w:val="none"/>
              </w:rPr>
            </w:pPr>
          </w:p>
        </w:tc>
        <w:tc>
          <w:tcPr>
            <w:tcW w:w="567" w:type="dxa"/>
            <w:vAlign w:val="center"/>
          </w:tcPr>
          <w:p w14:paraId="42C0D633">
            <w:pPr>
              <w:widowControl/>
              <w:jc w:val="center"/>
              <w:rPr>
                <w:rFonts w:hint="eastAsia" w:ascii="宋体" w:hAnsi="宋体"/>
                <w:color w:val="auto"/>
                <w:szCs w:val="21"/>
                <w:highlight w:val="none"/>
              </w:rPr>
            </w:pPr>
          </w:p>
        </w:tc>
      </w:tr>
      <w:tr w14:paraId="44C5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F52AE6A">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2282" w:type="dxa"/>
            <w:vAlign w:val="center"/>
          </w:tcPr>
          <w:p w14:paraId="27D2190B">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坐位功率自行车（含血压、血氧）</w:t>
            </w:r>
          </w:p>
        </w:tc>
        <w:tc>
          <w:tcPr>
            <w:tcW w:w="1485" w:type="dxa"/>
            <w:vAlign w:val="center"/>
          </w:tcPr>
          <w:p w14:paraId="2443900F">
            <w:pPr>
              <w:widowControl/>
              <w:jc w:val="center"/>
              <w:rPr>
                <w:rFonts w:hint="eastAsia" w:ascii="宋体" w:hAnsi="宋体"/>
                <w:color w:val="auto"/>
                <w:szCs w:val="21"/>
                <w:highlight w:val="none"/>
              </w:rPr>
            </w:pPr>
          </w:p>
        </w:tc>
        <w:tc>
          <w:tcPr>
            <w:tcW w:w="1019" w:type="dxa"/>
            <w:vAlign w:val="center"/>
          </w:tcPr>
          <w:p w14:paraId="7C470821">
            <w:pPr>
              <w:widowControl/>
              <w:jc w:val="center"/>
              <w:rPr>
                <w:rFonts w:hint="eastAsia" w:ascii="宋体" w:hAnsi="宋体"/>
                <w:color w:val="auto"/>
                <w:szCs w:val="21"/>
                <w:highlight w:val="none"/>
              </w:rPr>
            </w:pPr>
          </w:p>
        </w:tc>
        <w:tc>
          <w:tcPr>
            <w:tcW w:w="1134" w:type="dxa"/>
            <w:vAlign w:val="center"/>
          </w:tcPr>
          <w:p w14:paraId="59F6DC6B">
            <w:pPr>
              <w:widowControl/>
              <w:jc w:val="center"/>
              <w:rPr>
                <w:rFonts w:hint="eastAsia" w:ascii="宋体" w:hAnsi="宋体"/>
                <w:color w:val="auto"/>
                <w:szCs w:val="21"/>
                <w:highlight w:val="none"/>
              </w:rPr>
            </w:pPr>
          </w:p>
        </w:tc>
        <w:tc>
          <w:tcPr>
            <w:tcW w:w="1559" w:type="dxa"/>
            <w:vAlign w:val="center"/>
          </w:tcPr>
          <w:p w14:paraId="3E005DB1">
            <w:pPr>
              <w:widowControl/>
              <w:jc w:val="center"/>
              <w:rPr>
                <w:rFonts w:hint="eastAsia" w:ascii="宋体" w:hAnsi="宋体"/>
                <w:color w:val="auto"/>
                <w:szCs w:val="21"/>
                <w:highlight w:val="none"/>
              </w:rPr>
            </w:pPr>
          </w:p>
        </w:tc>
        <w:tc>
          <w:tcPr>
            <w:tcW w:w="1701" w:type="dxa"/>
            <w:vAlign w:val="center"/>
          </w:tcPr>
          <w:p w14:paraId="7142B734">
            <w:pPr>
              <w:widowControl/>
              <w:jc w:val="center"/>
              <w:rPr>
                <w:rFonts w:hint="eastAsia" w:ascii="宋体" w:hAnsi="宋体"/>
                <w:color w:val="auto"/>
                <w:szCs w:val="21"/>
                <w:highlight w:val="none"/>
              </w:rPr>
            </w:pPr>
          </w:p>
        </w:tc>
        <w:tc>
          <w:tcPr>
            <w:tcW w:w="993" w:type="dxa"/>
            <w:vAlign w:val="center"/>
          </w:tcPr>
          <w:p w14:paraId="50333BD7">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6F71533">
            <w:pPr>
              <w:widowControl/>
              <w:jc w:val="center"/>
              <w:rPr>
                <w:rFonts w:hint="eastAsia" w:ascii="宋体" w:hAnsi="宋体"/>
                <w:color w:val="auto"/>
                <w:szCs w:val="21"/>
                <w:highlight w:val="none"/>
              </w:rPr>
            </w:pPr>
          </w:p>
        </w:tc>
        <w:tc>
          <w:tcPr>
            <w:tcW w:w="1843" w:type="dxa"/>
            <w:vAlign w:val="center"/>
          </w:tcPr>
          <w:p w14:paraId="69F0BDB4">
            <w:pPr>
              <w:widowControl/>
              <w:jc w:val="center"/>
              <w:rPr>
                <w:rFonts w:hint="eastAsia" w:ascii="宋体" w:hAnsi="宋体"/>
                <w:color w:val="auto"/>
                <w:szCs w:val="21"/>
                <w:highlight w:val="none"/>
              </w:rPr>
            </w:pPr>
          </w:p>
        </w:tc>
        <w:tc>
          <w:tcPr>
            <w:tcW w:w="567" w:type="dxa"/>
            <w:vAlign w:val="center"/>
          </w:tcPr>
          <w:p w14:paraId="678788DC">
            <w:pPr>
              <w:widowControl/>
              <w:jc w:val="center"/>
              <w:rPr>
                <w:rFonts w:hint="eastAsia" w:ascii="宋体" w:hAnsi="宋体"/>
                <w:color w:val="auto"/>
                <w:szCs w:val="21"/>
                <w:highlight w:val="none"/>
              </w:rPr>
            </w:pPr>
          </w:p>
        </w:tc>
      </w:tr>
      <w:tr w14:paraId="2DD9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FD76E06">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6</w:t>
            </w:r>
          </w:p>
        </w:tc>
        <w:tc>
          <w:tcPr>
            <w:tcW w:w="2282" w:type="dxa"/>
            <w:vAlign w:val="center"/>
          </w:tcPr>
          <w:p w14:paraId="416A6576">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斜躺式功率自行车</w:t>
            </w:r>
          </w:p>
        </w:tc>
        <w:tc>
          <w:tcPr>
            <w:tcW w:w="1485" w:type="dxa"/>
            <w:vAlign w:val="center"/>
          </w:tcPr>
          <w:p w14:paraId="00E17F9A">
            <w:pPr>
              <w:widowControl/>
              <w:jc w:val="center"/>
              <w:rPr>
                <w:rFonts w:hint="eastAsia" w:ascii="宋体" w:hAnsi="宋体"/>
                <w:color w:val="auto"/>
                <w:szCs w:val="21"/>
                <w:highlight w:val="none"/>
              </w:rPr>
            </w:pPr>
          </w:p>
        </w:tc>
        <w:tc>
          <w:tcPr>
            <w:tcW w:w="1019" w:type="dxa"/>
            <w:vAlign w:val="center"/>
          </w:tcPr>
          <w:p w14:paraId="595CA9BA">
            <w:pPr>
              <w:widowControl/>
              <w:jc w:val="center"/>
              <w:rPr>
                <w:rFonts w:hint="eastAsia" w:ascii="宋体" w:hAnsi="宋体"/>
                <w:color w:val="auto"/>
                <w:szCs w:val="21"/>
                <w:highlight w:val="none"/>
              </w:rPr>
            </w:pPr>
          </w:p>
        </w:tc>
        <w:tc>
          <w:tcPr>
            <w:tcW w:w="1134" w:type="dxa"/>
            <w:vAlign w:val="center"/>
          </w:tcPr>
          <w:p w14:paraId="12B98DB9">
            <w:pPr>
              <w:widowControl/>
              <w:jc w:val="center"/>
              <w:rPr>
                <w:rFonts w:hint="eastAsia" w:ascii="宋体" w:hAnsi="宋体"/>
                <w:color w:val="auto"/>
                <w:szCs w:val="21"/>
                <w:highlight w:val="none"/>
              </w:rPr>
            </w:pPr>
          </w:p>
        </w:tc>
        <w:tc>
          <w:tcPr>
            <w:tcW w:w="1559" w:type="dxa"/>
            <w:vAlign w:val="center"/>
          </w:tcPr>
          <w:p w14:paraId="1D13230C">
            <w:pPr>
              <w:widowControl/>
              <w:jc w:val="center"/>
              <w:rPr>
                <w:rFonts w:hint="eastAsia" w:ascii="宋体" w:hAnsi="宋体"/>
                <w:color w:val="auto"/>
                <w:szCs w:val="21"/>
                <w:highlight w:val="none"/>
              </w:rPr>
            </w:pPr>
          </w:p>
        </w:tc>
        <w:tc>
          <w:tcPr>
            <w:tcW w:w="1701" w:type="dxa"/>
            <w:vAlign w:val="center"/>
          </w:tcPr>
          <w:p w14:paraId="66F245D1">
            <w:pPr>
              <w:widowControl/>
              <w:jc w:val="center"/>
              <w:rPr>
                <w:rFonts w:hint="eastAsia" w:ascii="宋体" w:hAnsi="宋体"/>
                <w:color w:val="auto"/>
                <w:szCs w:val="21"/>
                <w:highlight w:val="none"/>
              </w:rPr>
            </w:pPr>
          </w:p>
        </w:tc>
        <w:tc>
          <w:tcPr>
            <w:tcW w:w="993" w:type="dxa"/>
            <w:vAlign w:val="center"/>
          </w:tcPr>
          <w:p w14:paraId="4D8FA9DC">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0A967B59">
            <w:pPr>
              <w:widowControl/>
              <w:jc w:val="center"/>
              <w:rPr>
                <w:rFonts w:hint="eastAsia" w:ascii="宋体" w:hAnsi="宋体"/>
                <w:color w:val="auto"/>
                <w:szCs w:val="21"/>
                <w:highlight w:val="none"/>
              </w:rPr>
            </w:pPr>
          </w:p>
        </w:tc>
        <w:tc>
          <w:tcPr>
            <w:tcW w:w="1843" w:type="dxa"/>
            <w:vAlign w:val="center"/>
          </w:tcPr>
          <w:p w14:paraId="58208ED9">
            <w:pPr>
              <w:widowControl/>
              <w:jc w:val="center"/>
              <w:rPr>
                <w:rFonts w:hint="eastAsia" w:ascii="宋体" w:hAnsi="宋体"/>
                <w:color w:val="auto"/>
                <w:szCs w:val="21"/>
                <w:highlight w:val="none"/>
              </w:rPr>
            </w:pPr>
          </w:p>
        </w:tc>
        <w:tc>
          <w:tcPr>
            <w:tcW w:w="567" w:type="dxa"/>
            <w:vAlign w:val="center"/>
          </w:tcPr>
          <w:p w14:paraId="4AB010B0">
            <w:pPr>
              <w:widowControl/>
              <w:jc w:val="center"/>
              <w:rPr>
                <w:rFonts w:hint="eastAsia" w:ascii="宋体" w:hAnsi="宋体"/>
                <w:color w:val="auto"/>
                <w:szCs w:val="21"/>
                <w:highlight w:val="none"/>
              </w:rPr>
            </w:pPr>
          </w:p>
        </w:tc>
      </w:tr>
      <w:tr w14:paraId="3E59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F692CCA">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7</w:t>
            </w:r>
          </w:p>
        </w:tc>
        <w:tc>
          <w:tcPr>
            <w:tcW w:w="2282" w:type="dxa"/>
            <w:vAlign w:val="center"/>
          </w:tcPr>
          <w:p w14:paraId="6CCC6D8C">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坐式液压抗阻划船机</w:t>
            </w:r>
          </w:p>
        </w:tc>
        <w:tc>
          <w:tcPr>
            <w:tcW w:w="1485" w:type="dxa"/>
            <w:vAlign w:val="center"/>
          </w:tcPr>
          <w:p w14:paraId="30953689">
            <w:pPr>
              <w:widowControl/>
              <w:jc w:val="center"/>
              <w:rPr>
                <w:rFonts w:hint="eastAsia" w:ascii="宋体" w:hAnsi="宋体"/>
                <w:color w:val="auto"/>
                <w:szCs w:val="21"/>
                <w:highlight w:val="none"/>
              </w:rPr>
            </w:pPr>
          </w:p>
        </w:tc>
        <w:tc>
          <w:tcPr>
            <w:tcW w:w="1019" w:type="dxa"/>
            <w:vAlign w:val="center"/>
          </w:tcPr>
          <w:p w14:paraId="0B7232E5">
            <w:pPr>
              <w:widowControl/>
              <w:jc w:val="center"/>
              <w:rPr>
                <w:rFonts w:hint="eastAsia" w:ascii="宋体" w:hAnsi="宋体"/>
                <w:color w:val="auto"/>
                <w:szCs w:val="21"/>
                <w:highlight w:val="none"/>
              </w:rPr>
            </w:pPr>
          </w:p>
        </w:tc>
        <w:tc>
          <w:tcPr>
            <w:tcW w:w="1134" w:type="dxa"/>
            <w:vAlign w:val="center"/>
          </w:tcPr>
          <w:p w14:paraId="2862AD54">
            <w:pPr>
              <w:widowControl/>
              <w:jc w:val="center"/>
              <w:rPr>
                <w:rFonts w:hint="eastAsia" w:ascii="宋体" w:hAnsi="宋体"/>
                <w:color w:val="auto"/>
                <w:szCs w:val="21"/>
                <w:highlight w:val="none"/>
              </w:rPr>
            </w:pPr>
          </w:p>
        </w:tc>
        <w:tc>
          <w:tcPr>
            <w:tcW w:w="1559" w:type="dxa"/>
            <w:vAlign w:val="center"/>
          </w:tcPr>
          <w:p w14:paraId="6C09EDB9">
            <w:pPr>
              <w:widowControl/>
              <w:jc w:val="center"/>
              <w:rPr>
                <w:rFonts w:hint="eastAsia" w:ascii="宋体" w:hAnsi="宋体"/>
                <w:color w:val="auto"/>
                <w:szCs w:val="21"/>
                <w:highlight w:val="none"/>
              </w:rPr>
            </w:pPr>
          </w:p>
        </w:tc>
        <w:tc>
          <w:tcPr>
            <w:tcW w:w="1701" w:type="dxa"/>
            <w:vAlign w:val="center"/>
          </w:tcPr>
          <w:p w14:paraId="409D6648">
            <w:pPr>
              <w:widowControl/>
              <w:jc w:val="center"/>
              <w:rPr>
                <w:rFonts w:hint="eastAsia" w:ascii="宋体" w:hAnsi="宋体"/>
                <w:color w:val="auto"/>
                <w:szCs w:val="21"/>
                <w:highlight w:val="none"/>
              </w:rPr>
            </w:pPr>
          </w:p>
        </w:tc>
        <w:tc>
          <w:tcPr>
            <w:tcW w:w="993" w:type="dxa"/>
            <w:vAlign w:val="center"/>
          </w:tcPr>
          <w:p w14:paraId="5254010B">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6BCC75F4">
            <w:pPr>
              <w:widowControl/>
              <w:jc w:val="center"/>
              <w:rPr>
                <w:rFonts w:hint="eastAsia" w:ascii="宋体" w:hAnsi="宋体"/>
                <w:color w:val="auto"/>
                <w:szCs w:val="21"/>
                <w:highlight w:val="none"/>
              </w:rPr>
            </w:pPr>
          </w:p>
        </w:tc>
        <w:tc>
          <w:tcPr>
            <w:tcW w:w="1843" w:type="dxa"/>
            <w:vAlign w:val="center"/>
          </w:tcPr>
          <w:p w14:paraId="3B829C15">
            <w:pPr>
              <w:widowControl/>
              <w:jc w:val="center"/>
              <w:rPr>
                <w:rFonts w:hint="eastAsia" w:ascii="宋体" w:hAnsi="宋体"/>
                <w:color w:val="auto"/>
                <w:szCs w:val="21"/>
                <w:highlight w:val="none"/>
              </w:rPr>
            </w:pPr>
          </w:p>
        </w:tc>
        <w:tc>
          <w:tcPr>
            <w:tcW w:w="567" w:type="dxa"/>
            <w:vAlign w:val="center"/>
          </w:tcPr>
          <w:p w14:paraId="40A6BC39">
            <w:pPr>
              <w:widowControl/>
              <w:jc w:val="center"/>
              <w:rPr>
                <w:rFonts w:hint="eastAsia" w:ascii="宋体" w:hAnsi="宋体"/>
                <w:color w:val="auto"/>
                <w:szCs w:val="21"/>
                <w:highlight w:val="none"/>
              </w:rPr>
            </w:pPr>
          </w:p>
        </w:tc>
      </w:tr>
      <w:tr w14:paraId="7ACC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32CCD6D">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8</w:t>
            </w:r>
          </w:p>
        </w:tc>
        <w:tc>
          <w:tcPr>
            <w:tcW w:w="2282" w:type="dxa"/>
            <w:vAlign w:val="center"/>
          </w:tcPr>
          <w:p w14:paraId="42B2C456">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上肢滑轮训练系统</w:t>
            </w:r>
          </w:p>
        </w:tc>
        <w:tc>
          <w:tcPr>
            <w:tcW w:w="1485" w:type="dxa"/>
            <w:vAlign w:val="center"/>
          </w:tcPr>
          <w:p w14:paraId="47A3D424">
            <w:pPr>
              <w:widowControl/>
              <w:jc w:val="center"/>
              <w:rPr>
                <w:rFonts w:hint="eastAsia" w:ascii="宋体" w:hAnsi="宋体"/>
                <w:color w:val="auto"/>
                <w:szCs w:val="21"/>
                <w:highlight w:val="none"/>
              </w:rPr>
            </w:pPr>
          </w:p>
        </w:tc>
        <w:tc>
          <w:tcPr>
            <w:tcW w:w="1019" w:type="dxa"/>
            <w:vAlign w:val="center"/>
          </w:tcPr>
          <w:p w14:paraId="43CF7BBD">
            <w:pPr>
              <w:widowControl/>
              <w:jc w:val="center"/>
              <w:rPr>
                <w:rFonts w:hint="eastAsia" w:ascii="宋体" w:hAnsi="宋体"/>
                <w:color w:val="auto"/>
                <w:szCs w:val="21"/>
                <w:highlight w:val="none"/>
              </w:rPr>
            </w:pPr>
          </w:p>
        </w:tc>
        <w:tc>
          <w:tcPr>
            <w:tcW w:w="1134" w:type="dxa"/>
            <w:vAlign w:val="center"/>
          </w:tcPr>
          <w:p w14:paraId="0E45D27D">
            <w:pPr>
              <w:widowControl/>
              <w:jc w:val="center"/>
              <w:rPr>
                <w:rFonts w:hint="eastAsia" w:ascii="宋体" w:hAnsi="宋体"/>
                <w:color w:val="auto"/>
                <w:szCs w:val="21"/>
                <w:highlight w:val="none"/>
              </w:rPr>
            </w:pPr>
          </w:p>
        </w:tc>
        <w:tc>
          <w:tcPr>
            <w:tcW w:w="1559" w:type="dxa"/>
            <w:vAlign w:val="center"/>
          </w:tcPr>
          <w:p w14:paraId="560B1E0C">
            <w:pPr>
              <w:widowControl/>
              <w:jc w:val="center"/>
              <w:rPr>
                <w:rFonts w:hint="eastAsia" w:ascii="宋体" w:hAnsi="宋体"/>
                <w:color w:val="auto"/>
                <w:szCs w:val="21"/>
                <w:highlight w:val="none"/>
              </w:rPr>
            </w:pPr>
          </w:p>
        </w:tc>
        <w:tc>
          <w:tcPr>
            <w:tcW w:w="1701" w:type="dxa"/>
            <w:vAlign w:val="center"/>
          </w:tcPr>
          <w:p w14:paraId="7B312FD4">
            <w:pPr>
              <w:widowControl/>
              <w:jc w:val="center"/>
              <w:rPr>
                <w:rFonts w:hint="eastAsia" w:ascii="宋体" w:hAnsi="宋体"/>
                <w:color w:val="auto"/>
                <w:szCs w:val="21"/>
                <w:highlight w:val="none"/>
              </w:rPr>
            </w:pPr>
          </w:p>
        </w:tc>
        <w:tc>
          <w:tcPr>
            <w:tcW w:w="993" w:type="dxa"/>
            <w:vAlign w:val="center"/>
          </w:tcPr>
          <w:p w14:paraId="7D9303A9">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5BD31771">
            <w:pPr>
              <w:widowControl/>
              <w:jc w:val="center"/>
              <w:rPr>
                <w:rFonts w:hint="eastAsia" w:ascii="宋体" w:hAnsi="宋体"/>
                <w:color w:val="auto"/>
                <w:szCs w:val="21"/>
                <w:highlight w:val="none"/>
              </w:rPr>
            </w:pPr>
          </w:p>
        </w:tc>
        <w:tc>
          <w:tcPr>
            <w:tcW w:w="1843" w:type="dxa"/>
            <w:vAlign w:val="center"/>
          </w:tcPr>
          <w:p w14:paraId="4E725FAD">
            <w:pPr>
              <w:widowControl/>
              <w:jc w:val="center"/>
              <w:rPr>
                <w:rFonts w:hint="eastAsia" w:ascii="宋体" w:hAnsi="宋体"/>
                <w:color w:val="auto"/>
                <w:szCs w:val="21"/>
                <w:highlight w:val="none"/>
              </w:rPr>
            </w:pPr>
          </w:p>
        </w:tc>
        <w:tc>
          <w:tcPr>
            <w:tcW w:w="567" w:type="dxa"/>
            <w:vAlign w:val="center"/>
          </w:tcPr>
          <w:p w14:paraId="21126EFD">
            <w:pPr>
              <w:widowControl/>
              <w:jc w:val="center"/>
              <w:rPr>
                <w:rFonts w:hint="eastAsia" w:ascii="宋体" w:hAnsi="宋体"/>
                <w:color w:val="auto"/>
                <w:szCs w:val="21"/>
                <w:highlight w:val="none"/>
              </w:rPr>
            </w:pPr>
          </w:p>
        </w:tc>
      </w:tr>
      <w:tr w14:paraId="21E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C7E0BB4">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9</w:t>
            </w:r>
          </w:p>
        </w:tc>
        <w:tc>
          <w:tcPr>
            <w:tcW w:w="2282" w:type="dxa"/>
            <w:vAlign w:val="center"/>
          </w:tcPr>
          <w:p w14:paraId="6BCB8D09">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下肢抗阻训练器</w:t>
            </w:r>
          </w:p>
        </w:tc>
        <w:tc>
          <w:tcPr>
            <w:tcW w:w="1485" w:type="dxa"/>
            <w:vAlign w:val="center"/>
          </w:tcPr>
          <w:p w14:paraId="13DBA841">
            <w:pPr>
              <w:widowControl/>
              <w:jc w:val="center"/>
              <w:rPr>
                <w:rFonts w:hint="eastAsia" w:ascii="宋体" w:hAnsi="宋体"/>
                <w:color w:val="auto"/>
                <w:szCs w:val="21"/>
                <w:highlight w:val="none"/>
              </w:rPr>
            </w:pPr>
          </w:p>
        </w:tc>
        <w:tc>
          <w:tcPr>
            <w:tcW w:w="1019" w:type="dxa"/>
            <w:vAlign w:val="center"/>
          </w:tcPr>
          <w:p w14:paraId="37636C79">
            <w:pPr>
              <w:widowControl/>
              <w:jc w:val="center"/>
              <w:rPr>
                <w:rFonts w:hint="eastAsia" w:ascii="宋体" w:hAnsi="宋体"/>
                <w:color w:val="auto"/>
                <w:szCs w:val="21"/>
                <w:highlight w:val="none"/>
              </w:rPr>
            </w:pPr>
          </w:p>
        </w:tc>
        <w:tc>
          <w:tcPr>
            <w:tcW w:w="1134" w:type="dxa"/>
            <w:vAlign w:val="center"/>
          </w:tcPr>
          <w:p w14:paraId="3F654BC1">
            <w:pPr>
              <w:widowControl/>
              <w:jc w:val="center"/>
              <w:rPr>
                <w:rFonts w:hint="eastAsia" w:ascii="宋体" w:hAnsi="宋体"/>
                <w:color w:val="auto"/>
                <w:szCs w:val="21"/>
                <w:highlight w:val="none"/>
              </w:rPr>
            </w:pPr>
          </w:p>
        </w:tc>
        <w:tc>
          <w:tcPr>
            <w:tcW w:w="1559" w:type="dxa"/>
            <w:vAlign w:val="center"/>
          </w:tcPr>
          <w:p w14:paraId="45F97B6F">
            <w:pPr>
              <w:widowControl/>
              <w:jc w:val="center"/>
              <w:rPr>
                <w:rFonts w:hint="eastAsia" w:ascii="宋体" w:hAnsi="宋体"/>
                <w:color w:val="auto"/>
                <w:szCs w:val="21"/>
                <w:highlight w:val="none"/>
              </w:rPr>
            </w:pPr>
          </w:p>
        </w:tc>
        <w:tc>
          <w:tcPr>
            <w:tcW w:w="1701" w:type="dxa"/>
            <w:vAlign w:val="center"/>
          </w:tcPr>
          <w:p w14:paraId="2861C868">
            <w:pPr>
              <w:widowControl/>
              <w:jc w:val="center"/>
              <w:rPr>
                <w:rFonts w:hint="eastAsia" w:ascii="宋体" w:hAnsi="宋体"/>
                <w:color w:val="auto"/>
                <w:szCs w:val="21"/>
                <w:highlight w:val="none"/>
              </w:rPr>
            </w:pPr>
          </w:p>
        </w:tc>
        <w:tc>
          <w:tcPr>
            <w:tcW w:w="993" w:type="dxa"/>
            <w:vAlign w:val="center"/>
          </w:tcPr>
          <w:p w14:paraId="7C7CF3E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EBD1AC9">
            <w:pPr>
              <w:widowControl/>
              <w:jc w:val="center"/>
              <w:rPr>
                <w:rFonts w:hint="eastAsia" w:ascii="宋体" w:hAnsi="宋体"/>
                <w:color w:val="auto"/>
                <w:szCs w:val="21"/>
                <w:highlight w:val="none"/>
              </w:rPr>
            </w:pPr>
          </w:p>
        </w:tc>
        <w:tc>
          <w:tcPr>
            <w:tcW w:w="1843" w:type="dxa"/>
            <w:vAlign w:val="center"/>
          </w:tcPr>
          <w:p w14:paraId="4B9A665B">
            <w:pPr>
              <w:widowControl/>
              <w:jc w:val="center"/>
              <w:rPr>
                <w:rFonts w:hint="eastAsia" w:ascii="宋体" w:hAnsi="宋体"/>
                <w:color w:val="auto"/>
                <w:szCs w:val="21"/>
                <w:highlight w:val="none"/>
              </w:rPr>
            </w:pPr>
          </w:p>
        </w:tc>
        <w:tc>
          <w:tcPr>
            <w:tcW w:w="567" w:type="dxa"/>
            <w:vAlign w:val="center"/>
          </w:tcPr>
          <w:p w14:paraId="5EE15B91">
            <w:pPr>
              <w:widowControl/>
              <w:jc w:val="center"/>
              <w:rPr>
                <w:rFonts w:hint="eastAsia" w:ascii="宋体" w:hAnsi="宋体"/>
                <w:color w:val="auto"/>
                <w:szCs w:val="21"/>
                <w:highlight w:val="none"/>
              </w:rPr>
            </w:pPr>
          </w:p>
        </w:tc>
      </w:tr>
      <w:tr w14:paraId="034F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2A51E596">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10</w:t>
            </w:r>
          </w:p>
        </w:tc>
        <w:tc>
          <w:tcPr>
            <w:tcW w:w="2282" w:type="dxa"/>
            <w:vAlign w:val="center"/>
          </w:tcPr>
          <w:p w14:paraId="342EA83D">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多功能训练长椅（带滑轮系统）</w:t>
            </w:r>
          </w:p>
        </w:tc>
        <w:tc>
          <w:tcPr>
            <w:tcW w:w="1485" w:type="dxa"/>
            <w:vAlign w:val="center"/>
          </w:tcPr>
          <w:p w14:paraId="34897A9F">
            <w:pPr>
              <w:widowControl/>
              <w:jc w:val="center"/>
              <w:rPr>
                <w:rFonts w:hint="eastAsia" w:ascii="宋体" w:hAnsi="宋体"/>
                <w:color w:val="auto"/>
                <w:szCs w:val="21"/>
                <w:highlight w:val="none"/>
              </w:rPr>
            </w:pPr>
          </w:p>
        </w:tc>
        <w:tc>
          <w:tcPr>
            <w:tcW w:w="1019" w:type="dxa"/>
            <w:vAlign w:val="center"/>
          </w:tcPr>
          <w:p w14:paraId="3958B2AC">
            <w:pPr>
              <w:widowControl/>
              <w:jc w:val="center"/>
              <w:rPr>
                <w:rFonts w:hint="eastAsia" w:ascii="宋体" w:hAnsi="宋体"/>
                <w:color w:val="auto"/>
                <w:szCs w:val="21"/>
                <w:highlight w:val="none"/>
              </w:rPr>
            </w:pPr>
          </w:p>
        </w:tc>
        <w:tc>
          <w:tcPr>
            <w:tcW w:w="1134" w:type="dxa"/>
            <w:vAlign w:val="center"/>
          </w:tcPr>
          <w:p w14:paraId="58F517D6">
            <w:pPr>
              <w:widowControl/>
              <w:jc w:val="center"/>
              <w:rPr>
                <w:rFonts w:hint="eastAsia" w:ascii="宋体" w:hAnsi="宋体"/>
                <w:color w:val="auto"/>
                <w:szCs w:val="21"/>
                <w:highlight w:val="none"/>
              </w:rPr>
            </w:pPr>
          </w:p>
        </w:tc>
        <w:tc>
          <w:tcPr>
            <w:tcW w:w="1559" w:type="dxa"/>
            <w:vAlign w:val="center"/>
          </w:tcPr>
          <w:p w14:paraId="4700E2B0">
            <w:pPr>
              <w:widowControl/>
              <w:jc w:val="center"/>
              <w:rPr>
                <w:rFonts w:hint="eastAsia" w:ascii="宋体" w:hAnsi="宋体"/>
                <w:color w:val="auto"/>
                <w:szCs w:val="21"/>
                <w:highlight w:val="none"/>
              </w:rPr>
            </w:pPr>
          </w:p>
        </w:tc>
        <w:tc>
          <w:tcPr>
            <w:tcW w:w="1701" w:type="dxa"/>
            <w:vAlign w:val="center"/>
          </w:tcPr>
          <w:p w14:paraId="6B234A95">
            <w:pPr>
              <w:widowControl/>
              <w:jc w:val="center"/>
              <w:rPr>
                <w:rFonts w:hint="eastAsia" w:ascii="宋体" w:hAnsi="宋体"/>
                <w:color w:val="auto"/>
                <w:szCs w:val="21"/>
                <w:highlight w:val="none"/>
              </w:rPr>
            </w:pPr>
          </w:p>
        </w:tc>
        <w:tc>
          <w:tcPr>
            <w:tcW w:w="993" w:type="dxa"/>
            <w:vAlign w:val="center"/>
          </w:tcPr>
          <w:p w14:paraId="00895A3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585304D">
            <w:pPr>
              <w:widowControl/>
              <w:jc w:val="center"/>
              <w:rPr>
                <w:rFonts w:hint="eastAsia" w:ascii="宋体" w:hAnsi="宋体"/>
                <w:color w:val="auto"/>
                <w:szCs w:val="21"/>
                <w:highlight w:val="none"/>
              </w:rPr>
            </w:pPr>
          </w:p>
        </w:tc>
        <w:tc>
          <w:tcPr>
            <w:tcW w:w="1843" w:type="dxa"/>
            <w:vAlign w:val="center"/>
          </w:tcPr>
          <w:p w14:paraId="2BA16ED2">
            <w:pPr>
              <w:widowControl/>
              <w:jc w:val="center"/>
              <w:rPr>
                <w:rFonts w:hint="eastAsia" w:ascii="宋体" w:hAnsi="宋体"/>
                <w:color w:val="auto"/>
                <w:szCs w:val="21"/>
                <w:highlight w:val="none"/>
              </w:rPr>
            </w:pPr>
          </w:p>
        </w:tc>
        <w:tc>
          <w:tcPr>
            <w:tcW w:w="567" w:type="dxa"/>
            <w:vAlign w:val="center"/>
          </w:tcPr>
          <w:p w14:paraId="420A3D3B">
            <w:pPr>
              <w:widowControl/>
              <w:jc w:val="center"/>
              <w:rPr>
                <w:rFonts w:hint="eastAsia" w:ascii="宋体" w:hAnsi="宋体"/>
                <w:color w:val="auto"/>
                <w:szCs w:val="21"/>
                <w:highlight w:val="none"/>
              </w:rPr>
            </w:pPr>
          </w:p>
        </w:tc>
      </w:tr>
      <w:tr w14:paraId="7AEF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7867695">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11</w:t>
            </w:r>
          </w:p>
        </w:tc>
        <w:tc>
          <w:tcPr>
            <w:tcW w:w="2282" w:type="dxa"/>
            <w:vAlign w:val="center"/>
          </w:tcPr>
          <w:p w14:paraId="6F60068F">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呼吸训练器（高频振荡排痰仪)</w:t>
            </w:r>
          </w:p>
        </w:tc>
        <w:tc>
          <w:tcPr>
            <w:tcW w:w="1485" w:type="dxa"/>
            <w:vAlign w:val="center"/>
          </w:tcPr>
          <w:p w14:paraId="28419D16">
            <w:pPr>
              <w:widowControl/>
              <w:jc w:val="center"/>
              <w:rPr>
                <w:rFonts w:hint="eastAsia" w:ascii="宋体" w:hAnsi="宋体"/>
                <w:color w:val="auto"/>
                <w:szCs w:val="21"/>
                <w:highlight w:val="none"/>
              </w:rPr>
            </w:pPr>
          </w:p>
        </w:tc>
        <w:tc>
          <w:tcPr>
            <w:tcW w:w="1019" w:type="dxa"/>
            <w:vAlign w:val="center"/>
          </w:tcPr>
          <w:p w14:paraId="77B19966">
            <w:pPr>
              <w:widowControl/>
              <w:jc w:val="center"/>
              <w:rPr>
                <w:rFonts w:hint="eastAsia" w:ascii="宋体" w:hAnsi="宋体"/>
                <w:color w:val="auto"/>
                <w:szCs w:val="21"/>
                <w:highlight w:val="none"/>
              </w:rPr>
            </w:pPr>
          </w:p>
        </w:tc>
        <w:tc>
          <w:tcPr>
            <w:tcW w:w="1134" w:type="dxa"/>
            <w:vAlign w:val="center"/>
          </w:tcPr>
          <w:p w14:paraId="4F80A31E">
            <w:pPr>
              <w:widowControl/>
              <w:jc w:val="center"/>
              <w:rPr>
                <w:rFonts w:hint="eastAsia" w:ascii="宋体" w:hAnsi="宋体"/>
                <w:color w:val="auto"/>
                <w:szCs w:val="21"/>
                <w:highlight w:val="none"/>
              </w:rPr>
            </w:pPr>
          </w:p>
        </w:tc>
        <w:tc>
          <w:tcPr>
            <w:tcW w:w="1559" w:type="dxa"/>
            <w:vAlign w:val="center"/>
          </w:tcPr>
          <w:p w14:paraId="58F61648">
            <w:pPr>
              <w:widowControl/>
              <w:jc w:val="center"/>
              <w:rPr>
                <w:rFonts w:hint="eastAsia" w:ascii="宋体" w:hAnsi="宋体"/>
                <w:color w:val="auto"/>
                <w:szCs w:val="21"/>
                <w:highlight w:val="none"/>
              </w:rPr>
            </w:pPr>
          </w:p>
        </w:tc>
        <w:tc>
          <w:tcPr>
            <w:tcW w:w="1701" w:type="dxa"/>
            <w:vAlign w:val="center"/>
          </w:tcPr>
          <w:p w14:paraId="47EC1310">
            <w:pPr>
              <w:widowControl/>
              <w:jc w:val="center"/>
              <w:rPr>
                <w:rFonts w:hint="eastAsia" w:ascii="宋体" w:hAnsi="宋体"/>
                <w:color w:val="auto"/>
                <w:szCs w:val="21"/>
                <w:highlight w:val="none"/>
              </w:rPr>
            </w:pPr>
          </w:p>
        </w:tc>
        <w:tc>
          <w:tcPr>
            <w:tcW w:w="993" w:type="dxa"/>
            <w:vAlign w:val="center"/>
          </w:tcPr>
          <w:p w14:paraId="68AF092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6BEA264B">
            <w:pPr>
              <w:widowControl/>
              <w:jc w:val="center"/>
              <w:rPr>
                <w:rFonts w:hint="eastAsia" w:ascii="宋体" w:hAnsi="宋体"/>
                <w:color w:val="auto"/>
                <w:szCs w:val="21"/>
                <w:highlight w:val="none"/>
              </w:rPr>
            </w:pPr>
          </w:p>
        </w:tc>
        <w:tc>
          <w:tcPr>
            <w:tcW w:w="1843" w:type="dxa"/>
            <w:vAlign w:val="center"/>
          </w:tcPr>
          <w:p w14:paraId="27140B28">
            <w:pPr>
              <w:widowControl/>
              <w:jc w:val="center"/>
              <w:rPr>
                <w:rFonts w:hint="eastAsia" w:ascii="宋体" w:hAnsi="宋体"/>
                <w:color w:val="auto"/>
                <w:szCs w:val="21"/>
                <w:highlight w:val="none"/>
              </w:rPr>
            </w:pPr>
          </w:p>
        </w:tc>
        <w:tc>
          <w:tcPr>
            <w:tcW w:w="567" w:type="dxa"/>
            <w:vAlign w:val="center"/>
          </w:tcPr>
          <w:p w14:paraId="1162C04C">
            <w:pPr>
              <w:widowControl/>
              <w:jc w:val="center"/>
              <w:rPr>
                <w:rFonts w:hint="eastAsia" w:ascii="宋体" w:hAnsi="宋体"/>
                <w:color w:val="auto"/>
                <w:szCs w:val="21"/>
                <w:highlight w:val="none"/>
              </w:rPr>
            </w:pPr>
          </w:p>
        </w:tc>
      </w:tr>
      <w:tr w14:paraId="67FF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CB09264">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12</w:t>
            </w:r>
          </w:p>
        </w:tc>
        <w:tc>
          <w:tcPr>
            <w:tcW w:w="2282" w:type="dxa"/>
            <w:vAlign w:val="center"/>
          </w:tcPr>
          <w:p w14:paraId="733DE7ED">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呼吸机训练器（阀值负荷型）</w:t>
            </w:r>
          </w:p>
        </w:tc>
        <w:tc>
          <w:tcPr>
            <w:tcW w:w="1485" w:type="dxa"/>
            <w:vAlign w:val="center"/>
          </w:tcPr>
          <w:p w14:paraId="7C7B19A4">
            <w:pPr>
              <w:widowControl/>
              <w:jc w:val="center"/>
              <w:rPr>
                <w:rFonts w:hint="eastAsia" w:ascii="宋体" w:hAnsi="宋体"/>
                <w:color w:val="auto"/>
                <w:szCs w:val="21"/>
                <w:highlight w:val="none"/>
              </w:rPr>
            </w:pPr>
          </w:p>
        </w:tc>
        <w:tc>
          <w:tcPr>
            <w:tcW w:w="1019" w:type="dxa"/>
            <w:vAlign w:val="center"/>
          </w:tcPr>
          <w:p w14:paraId="42D660A2">
            <w:pPr>
              <w:widowControl/>
              <w:jc w:val="center"/>
              <w:rPr>
                <w:rFonts w:hint="eastAsia" w:ascii="宋体" w:hAnsi="宋体"/>
                <w:color w:val="auto"/>
                <w:szCs w:val="21"/>
                <w:highlight w:val="none"/>
              </w:rPr>
            </w:pPr>
          </w:p>
        </w:tc>
        <w:tc>
          <w:tcPr>
            <w:tcW w:w="1134" w:type="dxa"/>
            <w:vAlign w:val="center"/>
          </w:tcPr>
          <w:p w14:paraId="54C29307">
            <w:pPr>
              <w:widowControl/>
              <w:jc w:val="center"/>
              <w:rPr>
                <w:rFonts w:hint="eastAsia" w:ascii="宋体" w:hAnsi="宋体"/>
                <w:color w:val="auto"/>
                <w:szCs w:val="21"/>
                <w:highlight w:val="none"/>
              </w:rPr>
            </w:pPr>
          </w:p>
        </w:tc>
        <w:tc>
          <w:tcPr>
            <w:tcW w:w="1559" w:type="dxa"/>
            <w:vAlign w:val="center"/>
          </w:tcPr>
          <w:p w14:paraId="2F3C033E">
            <w:pPr>
              <w:widowControl/>
              <w:jc w:val="center"/>
              <w:rPr>
                <w:rFonts w:hint="eastAsia" w:ascii="宋体" w:hAnsi="宋体"/>
                <w:color w:val="auto"/>
                <w:szCs w:val="21"/>
                <w:highlight w:val="none"/>
              </w:rPr>
            </w:pPr>
          </w:p>
        </w:tc>
        <w:tc>
          <w:tcPr>
            <w:tcW w:w="1701" w:type="dxa"/>
            <w:vAlign w:val="center"/>
          </w:tcPr>
          <w:p w14:paraId="597A6D21">
            <w:pPr>
              <w:widowControl/>
              <w:jc w:val="center"/>
              <w:rPr>
                <w:rFonts w:hint="eastAsia" w:ascii="宋体" w:hAnsi="宋体"/>
                <w:color w:val="auto"/>
                <w:szCs w:val="21"/>
                <w:highlight w:val="none"/>
              </w:rPr>
            </w:pPr>
          </w:p>
        </w:tc>
        <w:tc>
          <w:tcPr>
            <w:tcW w:w="993" w:type="dxa"/>
            <w:vAlign w:val="center"/>
          </w:tcPr>
          <w:p w14:paraId="6C412692">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17" w:type="dxa"/>
            <w:vAlign w:val="center"/>
          </w:tcPr>
          <w:p w14:paraId="28EC713D">
            <w:pPr>
              <w:widowControl/>
              <w:jc w:val="center"/>
              <w:rPr>
                <w:rFonts w:hint="eastAsia" w:ascii="宋体" w:hAnsi="宋体"/>
                <w:color w:val="auto"/>
                <w:szCs w:val="21"/>
                <w:highlight w:val="none"/>
              </w:rPr>
            </w:pPr>
          </w:p>
        </w:tc>
        <w:tc>
          <w:tcPr>
            <w:tcW w:w="1843" w:type="dxa"/>
            <w:vAlign w:val="center"/>
          </w:tcPr>
          <w:p w14:paraId="4E4FD5E1">
            <w:pPr>
              <w:widowControl/>
              <w:jc w:val="center"/>
              <w:rPr>
                <w:rFonts w:hint="eastAsia" w:ascii="宋体" w:hAnsi="宋体"/>
                <w:color w:val="auto"/>
                <w:szCs w:val="21"/>
                <w:highlight w:val="none"/>
              </w:rPr>
            </w:pPr>
          </w:p>
        </w:tc>
        <w:tc>
          <w:tcPr>
            <w:tcW w:w="567" w:type="dxa"/>
            <w:vAlign w:val="center"/>
          </w:tcPr>
          <w:p w14:paraId="6EC6B43A">
            <w:pPr>
              <w:widowControl/>
              <w:jc w:val="center"/>
              <w:rPr>
                <w:rFonts w:hint="eastAsia" w:ascii="宋体" w:hAnsi="宋体"/>
                <w:color w:val="auto"/>
                <w:szCs w:val="21"/>
                <w:highlight w:val="none"/>
              </w:rPr>
            </w:pPr>
          </w:p>
        </w:tc>
      </w:tr>
      <w:tr w14:paraId="631F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E4C64C9">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13</w:t>
            </w:r>
          </w:p>
        </w:tc>
        <w:tc>
          <w:tcPr>
            <w:tcW w:w="2282" w:type="dxa"/>
            <w:vAlign w:val="center"/>
          </w:tcPr>
          <w:p w14:paraId="43101210">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呼吸机训练器（容量型）</w:t>
            </w:r>
          </w:p>
        </w:tc>
        <w:tc>
          <w:tcPr>
            <w:tcW w:w="1485" w:type="dxa"/>
            <w:vAlign w:val="center"/>
          </w:tcPr>
          <w:p w14:paraId="4BD5431D">
            <w:pPr>
              <w:widowControl/>
              <w:jc w:val="center"/>
              <w:rPr>
                <w:rFonts w:hint="eastAsia" w:ascii="宋体" w:hAnsi="宋体"/>
                <w:color w:val="auto"/>
                <w:szCs w:val="21"/>
                <w:highlight w:val="none"/>
              </w:rPr>
            </w:pPr>
          </w:p>
        </w:tc>
        <w:tc>
          <w:tcPr>
            <w:tcW w:w="1019" w:type="dxa"/>
            <w:vAlign w:val="center"/>
          </w:tcPr>
          <w:p w14:paraId="64C2E78F">
            <w:pPr>
              <w:widowControl/>
              <w:jc w:val="center"/>
              <w:rPr>
                <w:rFonts w:hint="eastAsia" w:ascii="宋体" w:hAnsi="宋体"/>
                <w:color w:val="auto"/>
                <w:szCs w:val="21"/>
                <w:highlight w:val="none"/>
              </w:rPr>
            </w:pPr>
          </w:p>
        </w:tc>
        <w:tc>
          <w:tcPr>
            <w:tcW w:w="1134" w:type="dxa"/>
            <w:vAlign w:val="center"/>
          </w:tcPr>
          <w:p w14:paraId="41EC35DE">
            <w:pPr>
              <w:widowControl/>
              <w:jc w:val="center"/>
              <w:rPr>
                <w:rFonts w:hint="eastAsia" w:ascii="宋体" w:hAnsi="宋体"/>
                <w:color w:val="auto"/>
                <w:szCs w:val="21"/>
                <w:highlight w:val="none"/>
              </w:rPr>
            </w:pPr>
          </w:p>
        </w:tc>
        <w:tc>
          <w:tcPr>
            <w:tcW w:w="1559" w:type="dxa"/>
            <w:vAlign w:val="center"/>
          </w:tcPr>
          <w:p w14:paraId="431A3D25">
            <w:pPr>
              <w:widowControl/>
              <w:jc w:val="center"/>
              <w:rPr>
                <w:rFonts w:hint="eastAsia" w:ascii="宋体" w:hAnsi="宋体"/>
                <w:color w:val="auto"/>
                <w:szCs w:val="21"/>
                <w:highlight w:val="none"/>
              </w:rPr>
            </w:pPr>
          </w:p>
        </w:tc>
        <w:tc>
          <w:tcPr>
            <w:tcW w:w="1701" w:type="dxa"/>
            <w:vAlign w:val="center"/>
          </w:tcPr>
          <w:p w14:paraId="5034EA9E">
            <w:pPr>
              <w:widowControl/>
              <w:jc w:val="center"/>
              <w:rPr>
                <w:rFonts w:hint="eastAsia" w:ascii="宋体" w:hAnsi="宋体"/>
                <w:color w:val="auto"/>
                <w:szCs w:val="21"/>
                <w:highlight w:val="none"/>
              </w:rPr>
            </w:pPr>
          </w:p>
        </w:tc>
        <w:tc>
          <w:tcPr>
            <w:tcW w:w="993" w:type="dxa"/>
            <w:vAlign w:val="center"/>
          </w:tcPr>
          <w:p w14:paraId="49FC95C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17" w:type="dxa"/>
            <w:vAlign w:val="center"/>
          </w:tcPr>
          <w:p w14:paraId="3DA978A3">
            <w:pPr>
              <w:widowControl/>
              <w:jc w:val="center"/>
              <w:rPr>
                <w:rFonts w:hint="eastAsia" w:ascii="宋体" w:hAnsi="宋体"/>
                <w:color w:val="auto"/>
                <w:szCs w:val="21"/>
                <w:highlight w:val="none"/>
              </w:rPr>
            </w:pPr>
          </w:p>
        </w:tc>
        <w:tc>
          <w:tcPr>
            <w:tcW w:w="1843" w:type="dxa"/>
            <w:vAlign w:val="center"/>
          </w:tcPr>
          <w:p w14:paraId="5E0F904F">
            <w:pPr>
              <w:widowControl/>
              <w:jc w:val="center"/>
              <w:rPr>
                <w:rFonts w:hint="eastAsia" w:ascii="宋体" w:hAnsi="宋体"/>
                <w:color w:val="auto"/>
                <w:szCs w:val="21"/>
                <w:highlight w:val="none"/>
              </w:rPr>
            </w:pPr>
          </w:p>
        </w:tc>
        <w:tc>
          <w:tcPr>
            <w:tcW w:w="567" w:type="dxa"/>
            <w:vAlign w:val="center"/>
          </w:tcPr>
          <w:p w14:paraId="36A39CAA">
            <w:pPr>
              <w:widowControl/>
              <w:jc w:val="center"/>
              <w:rPr>
                <w:rFonts w:hint="eastAsia" w:ascii="宋体" w:hAnsi="宋体"/>
                <w:color w:val="auto"/>
                <w:szCs w:val="21"/>
                <w:highlight w:val="none"/>
              </w:rPr>
            </w:pPr>
          </w:p>
        </w:tc>
      </w:tr>
      <w:tr w14:paraId="30D4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BB9709C">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14</w:t>
            </w:r>
          </w:p>
        </w:tc>
        <w:tc>
          <w:tcPr>
            <w:tcW w:w="2282" w:type="dxa"/>
            <w:vAlign w:val="center"/>
          </w:tcPr>
          <w:p w14:paraId="1A5CFBE8">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高流量湿化氧疗仪</w:t>
            </w:r>
          </w:p>
        </w:tc>
        <w:tc>
          <w:tcPr>
            <w:tcW w:w="1485" w:type="dxa"/>
            <w:vAlign w:val="center"/>
          </w:tcPr>
          <w:p w14:paraId="607C7B32">
            <w:pPr>
              <w:widowControl/>
              <w:jc w:val="center"/>
              <w:rPr>
                <w:rFonts w:hint="eastAsia" w:ascii="宋体" w:hAnsi="宋体"/>
                <w:color w:val="auto"/>
                <w:szCs w:val="21"/>
                <w:highlight w:val="none"/>
              </w:rPr>
            </w:pPr>
          </w:p>
        </w:tc>
        <w:tc>
          <w:tcPr>
            <w:tcW w:w="1019" w:type="dxa"/>
            <w:vAlign w:val="center"/>
          </w:tcPr>
          <w:p w14:paraId="49CE6D65">
            <w:pPr>
              <w:widowControl/>
              <w:jc w:val="center"/>
              <w:rPr>
                <w:rFonts w:hint="eastAsia" w:ascii="宋体" w:hAnsi="宋体"/>
                <w:color w:val="auto"/>
                <w:szCs w:val="21"/>
                <w:highlight w:val="none"/>
              </w:rPr>
            </w:pPr>
          </w:p>
        </w:tc>
        <w:tc>
          <w:tcPr>
            <w:tcW w:w="1134" w:type="dxa"/>
            <w:vAlign w:val="center"/>
          </w:tcPr>
          <w:p w14:paraId="7E2ACE28">
            <w:pPr>
              <w:widowControl/>
              <w:jc w:val="center"/>
              <w:rPr>
                <w:rFonts w:hint="eastAsia" w:ascii="宋体" w:hAnsi="宋体"/>
                <w:color w:val="auto"/>
                <w:szCs w:val="21"/>
                <w:highlight w:val="none"/>
              </w:rPr>
            </w:pPr>
          </w:p>
        </w:tc>
        <w:tc>
          <w:tcPr>
            <w:tcW w:w="1559" w:type="dxa"/>
            <w:vAlign w:val="center"/>
          </w:tcPr>
          <w:p w14:paraId="328F236B">
            <w:pPr>
              <w:widowControl/>
              <w:jc w:val="center"/>
              <w:rPr>
                <w:rFonts w:hint="eastAsia" w:ascii="宋体" w:hAnsi="宋体"/>
                <w:color w:val="auto"/>
                <w:szCs w:val="21"/>
                <w:highlight w:val="none"/>
              </w:rPr>
            </w:pPr>
          </w:p>
        </w:tc>
        <w:tc>
          <w:tcPr>
            <w:tcW w:w="1701" w:type="dxa"/>
            <w:vAlign w:val="center"/>
          </w:tcPr>
          <w:p w14:paraId="7789B0F4">
            <w:pPr>
              <w:widowControl/>
              <w:jc w:val="center"/>
              <w:rPr>
                <w:rFonts w:hint="eastAsia" w:ascii="宋体" w:hAnsi="宋体"/>
                <w:color w:val="auto"/>
                <w:szCs w:val="21"/>
                <w:highlight w:val="none"/>
              </w:rPr>
            </w:pPr>
          </w:p>
        </w:tc>
        <w:tc>
          <w:tcPr>
            <w:tcW w:w="993" w:type="dxa"/>
            <w:vAlign w:val="center"/>
          </w:tcPr>
          <w:p w14:paraId="273D428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9812942">
            <w:pPr>
              <w:widowControl/>
              <w:jc w:val="center"/>
              <w:rPr>
                <w:rFonts w:hint="eastAsia" w:ascii="宋体" w:hAnsi="宋体"/>
                <w:color w:val="auto"/>
                <w:szCs w:val="21"/>
                <w:highlight w:val="none"/>
              </w:rPr>
            </w:pPr>
          </w:p>
        </w:tc>
        <w:tc>
          <w:tcPr>
            <w:tcW w:w="1843" w:type="dxa"/>
            <w:vAlign w:val="center"/>
          </w:tcPr>
          <w:p w14:paraId="184335B3">
            <w:pPr>
              <w:widowControl/>
              <w:jc w:val="center"/>
              <w:rPr>
                <w:rFonts w:hint="eastAsia" w:ascii="宋体" w:hAnsi="宋体"/>
                <w:color w:val="auto"/>
                <w:szCs w:val="21"/>
                <w:highlight w:val="none"/>
              </w:rPr>
            </w:pPr>
          </w:p>
        </w:tc>
        <w:tc>
          <w:tcPr>
            <w:tcW w:w="567" w:type="dxa"/>
            <w:vAlign w:val="center"/>
          </w:tcPr>
          <w:p w14:paraId="15A3BD4B">
            <w:pPr>
              <w:widowControl/>
              <w:jc w:val="center"/>
              <w:rPr>
                <w:rFonts w:hint="eastAsia" w:ascii="宋体" w:hAnsi="宋体"/>
                <w:color w:val="auto"/>
                <w:szCs w:val="21"/>
                <w:highlight w:val="none"/>
              </w:rPr>
            </w:pPr>
          </w:p>
        </w:tc>
      </w:tr>
      <w:tr w14:paraId="19F0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80C8DFC">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15</w:t>
            </w:r>
          </w:p>
        </w:tc>
        <w:tc>
          <w:tcPr>
            <w:tcW w:w="2282" w:type="dxa"/>
            <w:vAlign w:val="center"/>
          </w:tcPr>
          <w:p w14:paraId="352969D0">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无创呼吸机</w:t>
            </w:r>
          </w:p>
        </w:tc>
        <w:tc>
          <w:tcPr>
            <w:tcW w:w="1485" w:type="dxa"/>
            <w:vAlign w:val="center"/>
          </w:tcPr>
          <w:p w14:paraId="66F97782">
            <w:pPr>
              <w:widowControl/>
              <w:jc w:val="center"/>
              <w:rPr>
                <w:rFonts w:hint="eastAsia" w:ascii="宋体" w:hAnsi="宋体"/>
                <w:color w:val="auto"/>
                <w:szCs w:val="21"/>
                <w:highlight w:val="none"/>
              </w:rPr>
            </w:pPr>
          </w:p>
        </w:tc>
        <w:tc>
          <w:tcPr>
            <w:tcW w:w="1019" w:type="dxa"/>
            <w:vAlign w:val="center"/>
          </w:tcPr>
          <w:p w14:paraId="625DA0C1">
            <w:pPr>
              <w:widowControl/>
              <w:jc w:val="center"/>
              <w:rPr>
                <w:rFonts w:hint="eastAsia" w:ascii="宋体" w:hAnsi="宋体"/>
                <w:color w:val="auto"/>
                <w:szCs w:val="21"/>
                <w:highlight w:val="none"/>
              </w:rPr>
            </w:pPr>
          </w:p>
        </w:tc>
        <w:tc>
          <w:tcPr>
            <w:tcW w:w="1134" w:type="dxa"/>
            <w:vAlign w:val="center"/>
          </w:tcPr>
          <w:p w14:paraId="6E2F4E5F">
            <w:pPr>
              <w:widowControl/>
              <w:jc w:val="center"/>
              <w:rPr>
                <w:rFonts w:hint="eastAsia" w:ascii="宋体" w:hAnsi="宋体"/>
                <w:color w:val="auto"/>
                <w:szCs w:val="21"/>
                <w:highlight w:val="none"/>
              </w:rPr>
            </w:pPr>
          </w:p>
        </w:tc>
        <w:tc>
          <w:tcPr>
            <w:tcW w:w="1559" w:type="dxa"/>
            <w:vAlign w:val="center"/>
          </w:tcPr>
          <w:p w14:paraId="69CD35E8">
            <w:pPr>
              <w:widowControl/>
              <w:jc w:val="center"/>
              <w:rPr>
                <w:rFonts w:hint="eastAsia" w:ascii="宋体" w:hAnsi="宋体"/>
                <w:color w:val="auto"/>
                <w:szCs w:val="21"/>
                <w:highlight w:val="none"/>
              </w:rPr>
            </w:pPr>
          </w:p>
        </w:tc>
        <w:tc>
          <w:tcPr>
            <w:tcW w:w="1701" w:type="dxa"/>
            <w:vAlign w:val="center"/>
          </w:tcPr>
          <w:p w14:paraId="4FB06E97">
            <w:pPr>
              <w:widowControl/>
              <w:jc w:val="center"/>
              <w:rPr>
                <w:rFonts w:hint="eastAsia" w:ascii="宋体" w:hAnsi="宋体"/>
                <w:color w:val="auto"/>
                <w:szCs w:val="21"/>
                <w:highlight w:val="none"/>
              </w:rPr>
            </w:pPr>
          </w:p>
        </w:tc>
        <w:tc>
          <w:tcPr>
            <w:tcW w:w="993" w:type="dxa"/>
            <w:vAlign w:val="center"/>
          </w:tcPr>
          <w:p w14:paraId="1C471150">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1E30CF0">
            <w:pPr>
              <w:widowControl/>
              <w:jc w:val="center"/>
              <w:rPr>
                <w:rFonts w:hint="eastAsia" w:ascii="宋体" w:hAnsi="宋体"/>
                <w:color w:val="auto"/>
                <w:szCs w:val="21"/>
                <w:highlight w:val="none"/>
              </w:rPr>
            </w:pPr>
          </w:p>
        </w:tc>
        <w:tc>
          <w:tcPr>
            <w:tcW w:w="1843" w:type="dxa"/>
            <w:vAlign w:val="center"/>
          </w:tcPr>
          <w:p w14:paraId="3F7D3D9D">
            <w:pPr>
              <w:widowControl/>
              <w:jc w:val="center"/>
              <w:rPr>
                <w:rFonts w:hint="eastAsia" w:ascii="宋体" w:hAnsi="宋体"/>
                <w:color w:val="auto"/>
                <w:szCs w:val="21"/>
                <w:highlight w:val="none"/>
              </w:rPr>
            </w:pPr>
          </w:p>
        </w:tc>
        <w:tc>
          <w:tcPr>
            <w:tcW w:w="567" w:type="dxa"/>
            <w:vAlign w:val="center"/>
          </w:tcPr>
          <w:p w14:paraId="26380F83">
            <w:pPr>
              <w:widowControl/>
              <w:jc w:val="center"/>
              <w:rPr>
                <w:rFonts w:hint="eastAsia" w:ascii="宋体" w:hAnsi="宋体"/>
                <w:color w:val="auto"/>
                <w:szCs w:val="21"/>
                <w:highlight w:val="none"/>
              </w:rPr>
            </w:pPr>
          </w:p>
        </w:tc>
      </w:tr>
      <w:tr w14:paraId="02FC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22066E95">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16</w:t>
            </w:r>
          </w:p>
        </w:tc>
        <w:tc>
          <w:tcPr>
            <w:tcW w:w="2282" w:type="dxa"/>
            <w:vAlign w:val="center"/>
          </w:tcPr>
          <w:p w14:paraId="11BEF9E1">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除颤监护仪</w:t>
            </w:r>
          </w:p>
        </w:tc>
        <w:tc>
          <w:tcPr>
            <w:tcW w:w="1485" w:type="dxa"/>
            <w:vAlign w:val="center"/>
          </w:tcPr>
          <w:p w14:paraId="77FBCB2F">
            <w:pPr>
              <w:widowControl/>
              <w:jc w:val="center"/>
              <w:rPr>
                <w:rFonts w:hint="eastAsia" w:ascii="宋体" w:hAnsi="宋体"/>
                <w:color w:val="auto"/>
                <w:szCs w:val="21"/>
                <w:highlight w:val="none"/>
              </w:rPr>
            </w:pPr>
          </w:p>
        </w:tc>
        <w:tc>
          <w:tcPr>
            <w:tcW w:w="1019" w:type="dxa"/>
            <w:vAlign w:val="center"/>
          </w:tcPr>
          <w:p w14:paraId="07067880">
            <w:pPr>
              <w:widowControl/>
              <w:jc w:val="center"/>
              <w:rPr>
                <w:rFonts w:hint="eastAsia" w:ascii="宋体" w:hAnsi="宋体"/>
                <w:color w:val="auto"/>
                <w:szCs w:val="21"/>
                <w:highlight w:val="none"/>
              </w:rPr>
            </w:pPr>
          </w:p>
        </w:tc>
        <w:tc>
          <w:tcPr>
            <w:tcW w:w="1134" w:type="dxa"/>
            <w:vAlign w:val="center"/>
          </w:tcPr>
          <w:p w14:paraId="55374BC0">
            <w:pPr>
              <w:widowControl/>
              <w:jc w:val="center"/>
              <w:rPr>
                <w:rFonts w:hint="eastAsia" w:ascii="宋体" w:hAnsi="宋体"/>
                <w:color w:val="auto"/>
                <w:szCs w:val="21"/>
                <w:highlight w:val="none"/>
              </w:rPr>
            </w:pPr>
          </w:p>
        </w:tc>
        <w:tc>
          <w:tcPr>
            <w:tcW w:w="1559" w:type="dxa"/>
            <w:vAlign w:val="center"/>
          </w:tcPr>
          <w:p w14:paraId="4831B64F">
            <w:pPr>
              <w:widowControl/>
              <w:jc w:val="center"/>
              <w:rPr>
                <w:rFonts w:hint="eastAsia" w:ascii="宋体" w:hAnsi="宋体"/>
                <w:color w:val="auto"/>
                <w:szCs w:val="21"/>
                <w:highlight w:val="none"/>
              </w:rPr>
            </w:pPr>
          </w:p>
        </w:tc>
        <w:tc>
          <w:tcPr>
            <w:tcW w:w="1701" w:type="dxa"/>
            <w:vAlign w:val="center"/>
          </w:tcPr>
          <w:p w14:paraId="7A235B96">
            <w:pPr>
              <w:widowControl/>
              <w:jc w:val="center"/>
              <w:rPr>
                <w:rFonts w:hint="eastAsia" w:ascii="宋体" w:hAnsi="宋体"/>
                <w:color w:val="auto"/>
                <w:szCs w:val="21"/>
                <w:highlight w:val="none"/>
              </w:rPr>
            </w:pPr>
          </w:p>
        </w:tc>
        <w:tc>
          <w:tcPr>
            <w:tcW w:w="993" w:type="dxa"/>
            <w:vAlign w:val="center"/>
          </w:tcPr>
          <w:p w14:paraId="5C82D40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3A3E83E4">
            <w:pPr>
              <w:widowControl/>
              <w:jc w:val="center"/>
              <w:rPr>
                <w:rFonts w:hint="eastAsia" w:ascii="宋体" w:hAnsi="宋体"/>
                <w:color w:val="auto"/>
                <w:szCs w:val="21"/>
                <w:highlight w:val="none"/>
              </w:rPr>
            </w:pPr>
          </w:p>
        </w:tc>
        <w:tc>
          <w:tcPr>
            <w:tcW w:w="1843" w:type="dxa"/>
            <w:vAlign w:val="center"/>
          </w:tcPr>
          <w:p w14:paraId="53831B40">
            <w:pPr>
              <w:widowControl/>
              <w:jc w:val="center"/>
              <w:rPr>
                <w:rFonts w:hint="eastAsia" w:ascii="宋体" w:hAnsi="宋体"/>
                <w:color w:val="auto"/>
                <w:szCs w:val="21"/>
                <w:highlight w:val="none"/>
              </w:rPr>
            </w:pPr>
          </w:p>
        </w:tc>
        <w:tc>
          <w:tcPr>
            <w:tcW w:w="567" w:type="dxa"/>
            <w:vAlign w:val="center"/>
          </w:tcPr>
          <w:p w14:paraId="60D47B2B">
            <w:pPr>
              <w:widowControl/>
              <w:jc w:val="center"/>
              <w:rPr>
                <w:rFonts w:hint="eastAsia" w:ascii="宋体" w:hAnsi="宋体"/>
                <w:color w:val="auto"/>
                <w:szCs w:val="21"/>
                <w:highlight w:val="none"/>
              </w:rPr>
            </w:pPr>
          </w:p>
        </w:tc>
      </w:tr>
      <w:tr w14:paraId="0617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772D3C7">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17</w:t>
            </w:r>
          </w:p>
        </w:tc>
        <w:tc>
          <w:tcPr>
            <w:tcW w:w="2282" w:type="dxa"/>
            <w:vAlign w:val="center"/>
          </w:tcPr>
          <w:p w14:paraId="16BC10E2">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心电图机</w:t>
            </w:r>
          </w:p>
        </w:tc>
        <w:tc>
          <w:tcPr>
            <w:tcW w:w="1485" w:type="dxa"/>
            <w:vAlign w:val="center"/>
          </w:tcPr>
          <w:p w14:paraId="396CE4FA">
            <w:pPr>
              <w:widowControl/>
              <w:jc w:val="center"/>
              <w:rPr>
                <w:rFonts w:hint="eastAsia" w:ascii="宋体" w:hAnsi="宋体"/>
                <w:color w:val="auto"/>
                <w:szCs w:val="21"/>
                <w:highlight w:val="none"/>
              </w:rPr>
            </w:pPr>
          </w:p>
        </w:tc>
        <w:tc>
          <w:tcPr>
            <w:tcW w:w="1019" w:type="dxa"/>
            <w:vAlign w:val="center"/>
          </w:tcPr>
          <w:p w14:paraId="368D8FE3">
            <w:pPr>
              <w:widowControl/>
              <w:jc w:val="center"/>
              <w:rPr>
                <w:rFonts w:hint="eastAsia" w:ascii="宋体" w:hAnsi="宋体"/>
                <w:color w:val="auto"/>
                <w:szCs w:val="21"/>
                <w:highlight w:val="none"/>
              </w:rPr>
            </w:pPr>
          </w:p>
        </w:tc>
        <w:tc>
          <w:tcPr>
            <w:tcW w:w="1134" w:type="dxa"/>
            <w:vAlign w:val="center"/>
          </w:tcPr>
          <w:p w14:paraId="4E853F19">
            <w:pPr>
              <w:widowControl/>
              <w:jc w:val="center"/>
              <w:rPr>
                <w:rFonts w:hint="eastAsia" w:ascii="宋体" w:hAnsi="宋体"/>
                <w:color w:val="auto"/>
                <w:szCs w:val="21"/>
                <w:highlight w:val="none"/>
              </w:rPr>
            </w:pPr>
          </w:p>
        </w:tc>
        <w:tc>
          <w:tcPr>
            <w:tcW w:w="1559" w:type="dxa"/>
            <w:vAlign w:val="center"/>
          </w:tcPr>
          <w:p w14:paraId="736AB15C">
            <w:pPr>
              <w:widowControl/>
              <w:jc w:val="center"/>
              <w:rPr>
                <w:rFonts w:hint="eastAsia" w:ascii="宋体" w:hAnsi="宋体"/>
                <w:color w:val="auto"/>
                <w:szCs w:val="21"/>
                <w:highlight w:val="none"/>
              </w:rPr>
            </w:pPr>
          </w:p>
        </w:tc>
        <w:tc>
          <w:tcPr>
            <w:tcW w:w="1701" w:type="dxa"/>
            <w:vAlign w:val="center"/>
          </w:tcPr>
          <w:p w14:paraId="7D0A2E5F">
            <w:pPr>
              <w:widowControl/>
              <w:jc w:val="center"/>
              <w:rPr>
                <w:rFonts w:hint="eastAsia" w:ascii="宋体" w:hAnsi="宋体"/>
                <w:color w:val="auto"/>
                <w:szCs w:val="21"/>
                <w:highlight w:val="none"/>
              </w:rPr>
            </w:pPr>
          </w:p>
        </w:tc>
        <w:tc>
          <w:tcPr>
            <w:tcW w:w="993" w:type="dxa"/>
            <w:vAlign w:val="center"/>
          </w:tcPr>
          <w:p w14:paraId="7CFF554B">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29889BB">
            <w:pPr>
              <w:widowControl/>
              <w:jc w:val="center"/>
              <w:rPr>
                <w:rFonts w:hint="eastAsia" w:ascii="宋体" w:hAnsi="宋体"/>
                <w:color w:val="auto"/>
                <w:szCs w:val="21"/>
                <w:highlight w:val="none"/>
              </w:rPr>
            </w:pPr>
          </w:p>
        </w:tc>
        <w:tc>
          <w:tcPr>
            <w:tcW w:w="1843" w:type="dxa"/>
            <w:vAlign w:val="center"/>
          </w:tcPr>
          <w:p w14:paraId="56DF0536">
            <w:pPr>
              <w:widowControl/>
              <w:jc w:val="center"/>
              <w:rPr>
                <w:rFonts w:hint="eastAsia" w:ascii="宋体" w:hAnsi="宋体"/>
                <w:color w:val="auto"/>
                <w:szCs w:val="21"/>
                <w:highlight w:val="none"/>
              </w:rPr>
            </w:pPr>
          </w:p>
        </w:tc>
        <w:tc>
          <w:tcPr>
            <w:tcW w:w="567" w:type="dxa"/>
            <w:vAlign w:val="center"/>
          </w:tcPr>
          <w:p w14:paraId="508FB6D6">
            <w:pPr>
              <w:widowControl/>
              <w:jc w:val="center"/>
              <w:rPr>
                <w:rFonts w:hint="eastAsia" w:ascii="宋体" w:hAnsi="宋体"/>
                <w:color w:val="auto"/>
                <w:szCs w:val="21"/>
                <w:highlight w:val="none"/>
              </w:rPr>
            </w:pPr>
          </w:p>
        </w:tc>
      </w:tr>
      <w:tr w14:paraId="590A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B5399A2">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18</w:t>
            </w:r>
          </w:p>
        </w:tc>
        <w:tc>
          <w:tcPr>
            <w:tcW w:w="2282" w:type="dxa"/>
            <w:vAlign w:val="center"/>
          </w:tcPr>
          <w:p w14:paraId="0673641C">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血氧监测仪、快速血糖监测仪</w:t>
            </w:r>
          </w:p>
        </w:tc>
        <w:tc>
          <w:tcPr>
            <w:tcW w:w="1485" w:type="dxa"/>
            <w:vAlign w:val="center"/>
          </w:tcPr>
          <w:p w14:paraId="4478CA84">
            <w:pPr>
              <w:widowControl/>
              <w:jc w:val="center"/>
              <w:rPr>
                <w:rFonts w:hint="eastAsia" w:ascii="宋体" w:hAnsi="宋体"/>
                <w:color w:val="auto"/>
                <w:szCs w:val="21"/>
                <w:highlight w:val="none"/>
              </w:rPr>
            </w:pPr>
          </w:p>
        </w:tc>
        <w:tc>
          <w:tcPr>
            <w:tcW w:w="1019" w:type="dxa"/>
            <w:vAlign w:val="center"/>
          </w:tcPr>
          <w:p w14:paraId="38A65BC4">
            <w:pPr>
              <w:widowControl/>
              <w:jc w:val="center"/>
              <w:rPr>
                <w:rFonts w:hint="eastAsia" w:ascii="宋体" w:hAnsi="宋体"/>
                <w:color w:val="auto"/>
                <w:szCs w:val="21"/>
                <w:highlight w:val="none"/>
              </w:rPr>
            </w:pPr>
          </w:p>
        </w:tc>
        <w:tc>
          <w:tcPr>
            <w:tcW w:w="1134" w:type="dxa"/>
            <w:vAlign w:val="center"/>
          </w:tcPr>
          <w:p w14:paraId="480842C2">
            <w:pPr>
              <w:widowControl/>
              <w:jc w:val="center"/>
              <w:rPr>
                <w:rFonts w:hint="eastAsia" w:ascii="宋体" w:hAnsi="宋体"/>
                <w:color w:val="auto"/>
                <w:szCs w:val="21"/>
                <w:highlight w:val="none"/>
              </w:rPr>
            </w:pPr>
          </w:p>
        </w:tc>
        <w:tc>
          <w:tcPr>
            <w:tcW w:w="1559" w:type="dxa"/>
            <w:vAlign w:val="center"/>
          </w:tcPr>
          <w:p w14:paraId="08C96FBF">
            <w:pPr>
              <w:widowControl/>
              <w:jc w:val="center"/>
              <w:rPr>
                <w:rFonts w:hint="eastAsia" w:ascii="宋体" w:hAnsi="宋体"/>
                <w:color w:val="auto"/>
                <w:szCs w:val="21"/>
                <w:highlight w:val="none"/>
              </w:rPr>
            </w:pPr>
          </w:p>
        </w:tc>
        <w:tc>
          <w:tcPr>
            <w:tcW w:w="1701" w:type="dxa"/>
            <w:vAlign w:val="center"/>
          </w:tcPr>
          <w:p w14:paraId="38274479">
            <w:pPr>
              <w:widowControl/>
              <w:jc w:val="center"/>
              <w:rPr>
                <w:rFonts w:hint="eastAsia" w:ascii="宋体" w:hAnsi="宋体"/>
                <w:color w:val="auto"/>
                <w:szCs w:val="21"/>
                <w:highlight w:val="none"/>
              </w:rPr>
            </w:pPr>
          </w:p>
        </w:tc>
        <w:tc>
          <w:tcPr>
            <w:tcW w:w="993" w:type="dxa"/>
            <w:vAlign w:val="center"/>
          </w:tcPr>
          <w:p w14:paraId="44FE543B">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47448000">
            <w:pPr>
              <w:widowControl/>
              <w:jc w:val="center"/>
              <w:rPr>
                <w:rFonts w:hint="eastAsia" w:ascii="宋体" w:hAnsi="宋体"/>
                <w:color w:val="auto"/>
                <w:szCs w:val="21"/>
                <w:highlight w:val="none"/>
              </w:rPr>
            </w:pPr>
          </w:p>
        </w:tc>
        <w:tc>
          <w:tcPr>
            <w:tcW w:w="1843" w:type="dxa"/>
            <w:vAlign w:val="center"/>
          </w:tcPr>
          <w:p w14:paraId="243E6AF7">
            <w:pPr>
              <w:widowControl/>
              <w:jc w:val="center"/>
              <w:rPr>
                <w:rFonts w:hint="eastAsia" w:ascii="宋体" w:hAnsi="宋体"/>
                <w:color w:val="auto"/>
                <w:szCs w:val="21"/>
                <w:highlight w:val="none"/>
              </w:rPr>
            </w:pPr>
          </w:p>
        </w:tc>
        <w:tc>
          <w:tcPr>
            <w:tcW w:w="567" w:type="dxa"/>
            <w:vAlign w:val="center"/>
          </w:tcPr>
          <w:p w14:paraId="1EFCBD05">
            <w:pPr>
              <w:widowControl/>
              <w:jc w:val="center"/>
              <w:rPr>
                <w:rFonts w:hint="eastAsia" w:ascii="宋体" w:hAnsi="宋体"/>
                <w:color w:val="auto"/>
                <w:szCs w:val="21"/>
                <w:highlight w:val="none"/>
              </w:rPr>
            </w:pPr>
          </w:p>
        </w:tc>
      </w:tr>
      <w:tr w14:paraId="78BA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EB772CB">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19</w:t>
            </w:r>
          </w:p>
        </w:tc>
        <w:tc>
          <w:tcPr>
            <w:tcW w:w="2282" w:type="dxa"/>
            <w:vAlign w:val="center"/>
          </w:tcPr>
          <w:p w14:paraId="31B7623E">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体外反搏仪（三气囊式）</w:t>
            </w:r>
          </w:p>
        </w:tc>
        <w:tc>
          <w:tcPr>
            <w:tcW w:w="1485" w:type="dxa"/>
            <w:vAlign w:val="center"/>
          </w:tcPr>
          <w:p w14:paraId="6D573806">
            <w:pPr>
              <w:widowControl/>
              <w:jc w:val="center"/>
              <w:rPr>
                <w:rFonts w:hint="eastAsia" w:ascii="宋体" w:hAnsi="宋体"/>
                <w:color w:val="auto"/>
                <w:szCs w:val="21"/>
                <w:highlight w:val="none"/>
              </w:rPr>
            </w:pPr>
          </w:p>
        </w:tc>
        <w:tc>
          <w:tcPr>
            <w:tcW w:w="1019" w:type="dxa"/>
            <w:vAlign w:val="center"/>
          </w:tcPr>
          <w:p w14:paraId="0389DF54">
            <w:pPr>
              <w:widowControl/>
              <w:jc w:val="center"/>
              <w:rPr>
                <w:rFonts w:hint="eastAsia" w:ascii="宋体" w:hAnsi="宋体"/>
                <w:color w:val="auto"/>
                <w:szCs w:val="21"/>
                <w:highlight w:val="none"/>
              </w:rPr>
            </w:pPr>
          </w:p>
        </w:tc>
        <w:tc>
          <w:tcPr>
            <w:tcW w:w="1134" w:type="dxa"/>
            <w:vAlign w:val="center"/>
          </w:tcPr>
          <w:p w14:paraId="0ECF7D48">
            <w:pPr>
              <w:widowControl/>
              <w:jc w:val="center"/>
              <w:rPr>
                <w:rFonts w:hint="eastAsia" w:ascii="宋体" w:hAnsi="宋体"/>
                <w:color w:val="auto"/>
                <w:szCs w:val="21"/>
                <w:highlight w:val="none"/>
              </w:rPr>
            </w:pPr>
          </w:p>
        </w:tc>
        <w:tc>
          <w:tcPr>
            <w:tcW w:w="1559" w:type="dxa"/>
            <w:vAlign w:val="center"/>
          </w:tcPr>
          <w:p w14:paraId="2A70AF2F">
            <w:pPr>
              <w:widowControl/>
              <w:jc w:val="center"/>
              <w:rPr>
                <w:rFonts w:hint="eastAsia" w:ascii="宋体" w:hAnsi="宋体"/>
                <w:color w:val="auto"/>
                <w:szCs w:val="21"/>
                <w:highlight w:val="none"/>
              </w:rPr>
            </w:pPr>
          </w:p>
        </w:tc>
        <w:tc>
          <w:tcPr>
            <w:tcW w:w="1701" w:type="dxa"/>
            <w:vAlign w:val="center"/>
          </w:tcPr>
          <w:p w14:paraId="653A6D48">
            <w:pPr>
              <w:widowControl/>
              <w:jc w:val="center"/>
              <w:rPr>
                <w:rFonts w:hint="eastAsia" w:ascii="宋体" w:hAnsi="宋体"/>
                <w:color w:val="auto"/>
                <w:szCs w:val="21"/>
                <w:highlight w:val="none"/>
              </w:rPr>
            </w:pPr>
          </w:p>
        </w:tc>
        <w:tc>
          <w:tcPr>
            <w:tcW w:w="993" w:type="dxa"/>
            <w:vAlign w:val="center"/>
          </w:tcPr>
          <w:p w14:paraId="2769AFC8">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58EAB966">
            <w:pPr>
              <w:widowControl/>
              <w:jc w:val="center"/>
              <w:rPr>
                <w:rFonts w:hint="eastAsia" w:ascii="宋体" w:hAnsi="宋体"/>
                <w:color w:val="auto"/>
                <w:szCs w:val="21"/>
                <w:highlight w:val="none"/>
              </w:rPr>
            </w:pPr>
          </w:p>
        </w:tc>
        <w:tc>
          <w:tcPr>
            <w:tcW w:w="1843" w:type="dxa"/>
            <w:vAlign w:val="center"/>
          </w:tcPr>
          <w:p w14:paraId="4368ED43">
            <w:pPr>
              <w:widowControl/>
              <w:jc w:val="center"/>
              <w:rPr>
                <w:rFonts w:hint="eastAsia" w:ascii="宋体" w:hAnsi="宋体"/>
                <w:color w:val="auto"/>
                <w:szCs w:val="21"/>
                <w:highlight w:val="none"/>
              </w:rPr>
            </w:pPr>
          </w:p>
        </w:tc>
        <w:tc>
          <w:tcPr>
            <w:tcW w:w="567" w:type="dxa"/>
            <w:vAlign w:val="center"/>
          </w:tcPr>
          <w:p w14:paraId="0157BAF0">
            <w:pPr>
              <w:widowControl/>
              <w:jc w:val="center"/>
              <w:rPr>
                <w:rFonts w:hint="eastAsia" w:ascii="宋体" w:hAnsi="宋体"/>
                <w:color w:val="auto"/>
                <w:szCs w:val="21"/>
                <w:highlight w:val="none"/>
              </w:rPr>
            </w:pPr>
          </w:p>
        </w:tc>
      </w:tr>
      <w:tr w14:paraId="00E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3D5B221A">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20</w:t>
            </w:r>
          </w:p>
        </w:tc>
        <w:tc>
          <w:tcPr>
            <w:tcW w:w="2282" w:type="dxa"/>
            <w:vAlign w:val="center"/>
          </w:tcPr>
          <w:p w14:paraId="0B8CCD28">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等离子空气消毒机（移动式）</w:t>
            </w:r>
          </w:p>
        </w:tc>
        <w:tc>
          <w:tcPr>
            <w:tcW w:w="1485" w:type="dxa"/>
            <w:vAlign w:val="center"/>
          </w:tcPr>
          <w:p w14:paraId="0E41F02A">
            <w:pPr>
              <w:widowControl/>
              <w:jc w:val="center"/>
              <w:rPr>
                <w:rFonts w:hint="eastAsia" w:ascii="宋体" w:hAnsi="宋体"/>
                <w:color w:val="auto"/>
                <w:szCs w:val="21"/>
                <w:highlight w:val="none"/>
              </w:rPr>
            </w:pPr>
          </w:p>
        </w:tc>
        <w:tc>
          <w:tcPr>
            <w:tcW w:w="1019" w:type="dxa"/>
            <w:vAlign w:val="center"/>
          </w:tcPr>
          <w:p w14:paraId="6317228C">
            <w:pPr>
              <w:widowControl/>
              <w:jc w:val="center"/>
              <w:rPr>
                <w:rFonts w:hint="eastAsia" w:ascii="宋体" w:hAnsi="宋体"/>
                <w:color w:val="auto"/>
                <w:szCs w:val="21"/>
                <w:highlight w:val="none"/>
              </w:rPr>
            </w:pPr>
          </w:p>
        </w:tc>
        <w:tc>
          <w:tcPr>
            <w:tcW w:w="1134" w:type="dxa"/>
            <w:vAlign w:val="center"/>
          </w:tcPr>
          <w:p w14:paraId="29C3F372">
            <w:pPr>
              <w:widowControl/>
              <w:jc w:val="center"/>
              <w:rPr>
                <w:rFonts w:hint="eastAsia" w:ascii="宋体" w:hAnsi="宋体"/>
                <w:color w:val="auto"/>
                <w:szCs w:val="21"/>
                <w:highlight w:val="none"/>
              </w:rPr>
            </w:pPr>
          </w:p>
        </w:tc>
        <w:tc>
          <w:tcPr>
            <w:tcW w:w="1559" w:type="dxa"/>
            <w:vAlign w:val="center"/>
          </w:tcPr>
          <w:p w14:paraId="2396F3B6">
            <w:pPr>
              <w:widowControl/>
              <w:jc w:val="center"/>
              <w:rPr>
                <w:rFonts w:hint="eastAsia" w:ascii="宋体" w:hAnsi="宋体"/>
                <w:color w:val="auto"/>
                <w:szCs w:val="21"/>
                <w:highlight w:val="none"/>
              </w:rPr>
            </w:pPr>
          </w:p>
        </w:tc>
        <w:tc>
          <w:tcPr>
            <w:tcW w:w="1701" w:type="dxa"/>
            <w:vAlign w:val="center"/>
          </w:tcPr>
          <w:p w14:paraId="311E0D76">
            <w:pPr>
              <w:widowControl/>
              <w:jc w:val="center"/>
              <w:rPr>
                <w:rFonts w:hint="eastAsia" w:ascii="宋体" w:hAnsi="宋体"/>
                <w:color w:val="auto"/>
                <w:szCs w:val="21"/>
                <w:highlight w:val="none"/>
              </w:rPr>
            </w:pPr>
          </w:p>
        </w:tc>
        <w:tc>
          <w:tcPr>
            <w:tcW w:w="993" w:type="dxa"/>
            <w:vAlign w:val="center"/>
          </w:tcPr>
          <w:p w14:paraId="7D71539C">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417" w:type="dxa"/>
            <w:vAlign w:val="center"/>
          </w:tcPr>
          <w:p w14:paraId="4BF24F98">
            <w:pPr>
              <w:widowControl/>
              <w:jc w:val="center"/>
              <w:rPr>
                <w:rFonts w:hint="eastAsia" w:ascii="宋体" w:hAnsi="宋体"/>
                <w:color w:val="auto"/>
                <w:szCs w:val="21"/>
                <w:highlight w:val="none"/>
              </w:rPr>
            </w:pPr>
          </w:p>
        </w:tc>
        <w:tc>
          <w:tcPr>
            <w:tcW w:w="1843" w:type="dxa"/>
            <w:vAlign w:val="center"/>
          </w:tcPr>
          <w:p w14:paraId="6E26C84B">
            <w:pPr>
              <w:widowControl/>
              <w:jc w:val="center"/>
              <w:rPr>
                <w:rFonts w:hint="eastAsia" w:ascii="宋体" w:hAnsi="宋体"/>
                <w:color w:val="auto"/>
                <w:szCs w:val="21"/>
                <w:highlight w:val="none"/>
              </w:rPr>
            </w:pPr>
          </w:p>
        </w:tc>
        <w:tc>
          <w:tcPr>
            <w:tcW w:w="567" w:type="dxa"/>
            <w:vAlign w:val="center"/>
          </w:tcPr>
          <w:p w14:paraId="7D337733">
            <w:pPr>
              <w:widowControl/>
              <w:jc w:val="center"/>
              <w:rPr>
                <w:rFonts w:hint="eastAsia" w:ascii="宋体" w:hAnsi="宋体"/>
                <w:color w:val="auto"/>
                <w:szCs w:val="21"/>
                <w:highlight w:val="none"/>
              </w:rPr>
            </w:pPr>
          </w:p>
        </w:tc>
      </w:tr>
      <w:tr w14:paraId="4CB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DA7B437">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21</w:t>
            </w:r>
          </w:p>
        </w:tc>
        <w:tc>
          <w:tcPr>
            <w:tcW w:w="2282" w:type="dxa"/>
            <w:vAlign w:val="center"/>
          </w:tcPr>
          <w:p w14:paraId="4E80F4C4">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呼吸神经肌肉刺激仪</w:t>
            </w:r>
          </w:p>
        </w:tc>
        <w:tc>
          <w:tcPr>
            <w:tcW w:w="1485" w:type="dxa"/>
            <w:vAlign w:val="center"/>
          </w:tcPr>
          <w:p w14:paraId="0D5934DA">
            <w:pPr>
              <w:widowControl/>
              <w:jc w:val="center"/>
              <w:rPr>
                <w:rFonts w:hint="eastAsia" w:ascii="宋体" w:hAnsi="宋体"/>
                <w:color w:val="auto"/>
                <w:szCs w:val="21"/>
                <w:highlight w:val="none"/>
              </w:rPr>
            </w:pPr>
          </w:p>
        </w:tc>
        <w:tc>
          <w:tcPr>
            <w:tcW w:w="1019" w:type="dxa"/>
            <w:vAlign w:val="center"/>
          </w:tcPr>
          <w:p w14:paraId="0E1BA592">
            <w:pPr>
              <w:widowControl/>
              <w:jc w:val="center"/>
              <w:rPr>
                <w:rFonts w:hint="eastAsia" w:ascii="宋体" w:hAnsi="宋体"/>
                <w:color w:val="auto"/>
                <w:szCs w:val="21"/>
                <w:highlight w:val="none"/>
              </w:rPr>
            </w:pPr>
          </w:p>
        </w:tc>
        <w:tc>
          <w:tcPr>
            <w:tcW w:w="1134" w:type="dxa"/>
            <w:vAlign w:val="center"/>
          </w:tcPr>
          <w:p w14:paraId="79C3E453">
            <w:pPr>
              <w:widowControl/>
              <w:jc w:val="center"/>
              <w:rPr>
                <w:rFonts w:hint="eastAsia" w:ascii="宋体" w:hAnsi="宋体"/>
                <w:color w:val="auto"/>
                <w:szCs w:val="21"/>
                <w:highlight w:val="none"/>
              </w:rPr>
            </w:pPr>
          </w:p>
        </w:tc>
        <w:tc>
          <w:tcPr>
            <w:tcW w:w="1559" w:type="dxa"/>
            <w:vAlign w:val="center"/>
          </w:tcPr>
          <w:p w14:paraId="3AE4E6FA">
            <w:pPr>
              <w:widowControl/>
              <w:jc w:val="center"/>
              <w:rPr>
                <w:rFonts w:hint="eastAsia" w:ascii="宋体" w:hAnsi="宋体"/>
                <w:color w:val="auto"/>
                <w:szCs w:val="21"/>
                <w:highlight w:val="none"/>
              </w:rPr>
            </w:pPr>
          </w:p>
        </w:tc>
        <w:tc>
          <w:tcPr>
            <w:tcW w:w="1701" w:type="dxa"/>
            <w:vAlign w:val="center"/>
          </w:tcPr>
          <w:p w14:paraId="25E3675E">
            <w:pPr>
              <w:widowControl/>
              <w:jc w:val="center"/>
              <w:rPr>
                <w:rFonts w:hint="eastAsia" w:ascii="宋体" w:hAnsi="宋体"/>
                <w:color w:val="auto"/>
                <w:szCs w:val="21"/>
                <w:highlight w:val="none"/>
              </w:rPr>
            </w:pPr>
          </w:p>
        </w:tc>
        <w:tc>
          <w:tcPr>
            <w:tcW w:w="993" w:type="dxa"/>
            <w:vAlign w:val="center"/>
          </w:tcPr>
          <w:p w14:paraId="6B16F69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146E08A">
            <w:pPr>
              <w:widowControl/>
              <w:jc w:val="center"/>
              <w:rPr>
                <w:rFonts w:hint="eastAsia" w:ascii="宋体" w:hAnsi="宋体"/>
                <w:color w:val="auto"/>
                <w:szCs w:val="21"/>
                <w:highlight w:val="none"/>
              </w:rPr>
            </w:pPr>
          </w:p>
        </w:tc>
        <w:tc>
          <w:tcPr>
            <w:tcW w:w="1843" w:type="dxa"/>
            <w:vAlign w:val="center"/>
          </w:tcPr>
          <w:p w14:paraId="1789815D">
            <w:pPr>
              <w:widowControl/>
              <w:jc w:val="center"/>
              <w:rPr>
                <w:rFonts w:hint="eastAsia" w:ascii="宋体" w:hAnsi="宋体"/>
                <w:color w:val="auto"/>
                <w:szCs w:val="21"/>
                <w:highlight w:val="none"/>
              </w:rPr>
            </w:pPr>
          </w:p>
        </w:tc>
        <w:tc>
          <w:tcPr>
            <w:tcW w:w="567" w:type="dxa"/>
            <w:vAlign w:val="center"/>
          </w:tcPr>
          <w:p w14:paraId="788EAE7F">
            <w:pPr>
              <w:widowControl/>
              <w:jc w:val="center"/>
              <w:rPr>
                <w:rFonts w:hint="eastAsia" w:ascii="宋体" w:hAnsi="宋体"/>
                <w:color w:val="auto"/>
                <w:szCs w:val="21"/>
                <w:highlight w:val="none"/>
              </w:rPr>
            </w:pPr>
          </w:p>
        </w:tc>
      </w:tr>
      <w:tr w14:paraId="5A0B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32249D8">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22</w:t>
            </w:r>
          </w:p>
        </w:tc>
        <w:tc>
          <w:tcPr>
            <w:tcW w:w="2282" w:type="dxa"/>
            <w:vAlign w:val="center"/>
          </w:tcPr>
          <w:p w14:paraId="6A52AF1A">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动态血压</w:t>
            </w:r>
          </w:p>
        </w:tc>
        <w:tc>
          <w:tcPr>
            <w:tcW w:w="1485" w:type="dxa"/>
            <w:vAlign w:val="center"/>
          </w:tcPr>
          <w:p w14:paraId="7ECB8D09">
            <w:pPr>
              <w:widowControl/>
              <w:jc w:val="center"/>
              <w:rPr>
                <w:rFonts w:hint="eastAsia" w:ascii="宋体" w:hAnsi="宋体"/>
                <w:color w:val="auto"/>
                <w:szCs w:val="21"/>
                <w:highlight w:val="none"/>
              </w:rPr>
            </w:pPr>
          </w:p>
        </w:tc>
        <w:tc>
          <w:tcPr>
            <w:tcW w:w="1019" w:type="dxa"/>
            <w:vAlign w:val="center"/>
          </w:tcPr>
          <w:p w14:paraId="04479B3D">
            <w:pPr>
              <w:widowControl/>
              <w:jc w:val="center"/>
              <w:rPr>
                <w:rFonts w:hint="eastAsia" w:ascii="宋体" w:hAnsi="宋体"/>
                <w:color w:val="auto"/>
                <w:szCs w:val="21"/>
                <w:highlight w:val="none"/>
              </w:rPr>
            </w:pPr>
          </w:p>
        </w:tc>
        <w:tc>
          <w:tcPr>
            <w:tcW w:w="1134" w:type="dxa"/>
            <w:vAlign w:val="center"/>
          </w:tcPr>
          <w:p w14:paraId="1681BC08">
            <w:pPr>
              <w:widowControl/>
              <w:jc w:val="center"/>
              <w:rPr>
                <w:rFonts w:hint="eastAsia" w:ascii="宋体" w:hAnsi="宋体"/>
                <w:color w:val="auto"/>
                <w:szCs w:val="21"/>
                <w:highlight w:val="none"/>
              </w:rPr>
            </w:pPr>
          </w:p>
        </w:tc>
        <w:tc>
          <w:tcPr>
            <w:tcW w:w="1559" w:type="dxa"/>
            <w:vAlign w:val="center"/>
          </w:tcPr>
          <w:p w14:paraId="6EE89223">
            <w:pPr>
              <w:widowControl/>
              <w:jc w:val="center"/>
              <w:rPr>
                <w:rFonts w:hint="eastAsia" w:ascii="宋体" w:hAnsi="宋体"/>
                <w:color w:val="auto"/>
                <w:szCs w:val="21"/>
                <w:highlight w:val="none"/>
              </w:rPr>
            </w:pPr>
          </w:p>
        </w:tc>
        <w:tc>
          <w:tcPr>
            <w:tcW w:w="1701" w:type="dxa"/>
            <w:vAlign w:val="center"/>
          </w:tcPr>
          <w:p w14:paraId="725445BF">
            <w:pPr>
              <w:widowControl/>
              <w:jc w:val="center"/>
              <w:rPr>
                <w:rFonts w:hint="eastAsia" w:ascii="宋体" w:hAnsi="宋体"/>
                <w:color w:val="auto"/>
                <w:szCs w:val="21"/>
                <w:highlight w:val="none"/>
              </w:rPr>
            </w:pPr>
          </w:p>
        </w:tc>
        <w:tc>
          <w:tcPr>
            <w:tcW w:w="993" w:type="dxa"/>
            <w:vAlign w:val="center"/>
          </w:tcPr>
          <w:p w14:paraId="1EFF106A">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417" w:type="dxa"/>
            <w:vAlign w:val="center"/>
          </w:tcPr>
          <w:p w14:paraId="2FF7407E">
            <w:pPr>
              <w:widowControl/>
              <w:jc w:val="center"/>
              <w:rPr>
                <w:rFonts w:hint="eastAsia" w:ascii="宋体" w:hAnsi="宋体"/>
                <w:color w:val="auto"/>
                <w:szCs w:val="21"/>
                <w:highlight w:val="none"/>
              </w:rPr>
            </w:pPr>
          </w:p>
        </w:tc>
        <w:tc>
          <w:tcPr>
            <w:tcW w:w="1843" w:type="dxa"/>
            <w:vAlign w:val="center"/>
          </w:tcPr>
          <w:p w14:paraId="40D7EE2D">
            <w:pPr>
              <w:widowControl/>
              <w:jc w:val="center"/>
              <w:rPr>
                <w:rFonts w:hint="eastAsia" w:ascii="宋体" w:hAnsi="宋体"/>
                <w:color w:val="auto"/>
                <w:szCs w:val="21"/>
                <w:highlight w:val="none"/>
              </w:rPr>
            </w:pPr>
          </w:p>
        </w:tc>
        <w:tc>
          <w:tcPr>
            <w:tcW w:w="567" w:type="dxa"/>
            <w:vAlign w:val="center"/>
          </w:tcPr>
          <w:p w14:paraId="5B7B9348">
            <w:pPr>
              <w:widowControl/>
              <w:jc w:val="center"/>
              <w:rPr>
                <w:rFonts w:hint="eastAsia" w:ascii="宋体" w:hAnsi="宋体"/>
                <w:color w:val="auto"/>
                <w:szCs w:val="21"/>
                <w:highlight w:val="none"/>
              </w:rPr>
            </w:pPr>
          </w:p>
        </w:tc>
      </w:tr>
      <w:tr w14:paraId="6040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5B7F25EA">
            <w:pPr>
              <w:widowControl/>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23</w:t>
            </w:r>
          </w:p>
        </w:tc>
        <w:tc>
          <w:tcPr>
            <w:tcW w:w="2282" w:type="dxa"/>
            <w:vAlign w:val="center"/>
          </w:tcPr>
          <w:p w14:paraId="1B0C8CEB">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急救车</w:t>
            </w:r>
          </w:p>
        </w:tc>
        <w:tc>
          <w:tcPr>
            <w:tcW w:w="1485" w:type="dxa"/>
            <w:vAlign w:val="center"/>
          </w:tcPr>
          <w:p w14:paraId="025CF6AD">
            <w:pPr>
              <w:widowControl/>
              <w:jc w:val="center"/>
              <w:rPr>
                <w:rFonts w:hint="eastAsia" w:ascii="宋体" w:hAnsi="宋体"/>
                <w:color w:val="auto"/>
                <w:szCs w:val="21"/>
                <w:highlight w:val="none"/>
              </w:rPr>
            </w:pPr>
          </w:p>
        </w:tc>
        <w:tc>
          <w:tcPr>
            <w:tcW w:w="1019" w:type="dxa"/>
            <w:vAlign w:val="center"/>
          </w:tcPr>
          <w:p w14:paraId="74D400C2">
            <w:pPr>
              <w:widowControl/>
              <w:jc w:val="center"/>
              <w:rPr>
                <w:rFonts w:hint="eastAsia" w:ascii="宋体" w:hAnsi="宋体"/>
                <w:color w:val="auto"/>
                <w:szCs w:val="21"/>
                <w:highlight w:val="none"/>
              </w:rPr>
            </w:pPr>
          </w:p>
        </w:tc>
        <w:tc>
          <w:tcPr>
            <w:tcW w:w="1134" w:type="dxa"/>
            <w:vAlign w:val="center"/>
          </w:tcPr>
          <w:p w14:paraId="528664D2">
            <w:pPr>
              <w:widowControl/>
              <w:jc w:val="center"/>
              <w:rPr>
                <w:rFonts w:hint="eastAsia" w:ascii="宋体" w:hAnsi="宋体"/>
                <w:color w:val="auto"/>
                <w:szCs w:val="21"/>
                <w:highlight w:val="none"/>
              </w:rPr>
            </w:pPr>
          </w:p>
        </w:tc>
        <w:tc>
          <w:tcPr>
            <w:tcW w:w="1559" w:type="dxa"/>
            <w:vAlign w:val="center"/>
          </w:tcPr>
          <w:p w14:paraId="32FD4964">
            <w:pPr>
              <w:widowControl/>
              <w:jc w:val="center"/>
              <w:rPr>
                <w:rFonts w:hint="eastAsia" w:ascii="宋体" w:hAnsi="宋体"/>
                <w:color w:val="auto"/>
                <w:szCs w:val="21"/>
                <w:highlight w:val="none"/>
              </w:rPr>
            </w:pPr>
          </w:p>
        </w:tc>
        <w:tc>
          <w:tcPr>
            <w:tcW w:w="1701" w:type="dxa"/>
            <w:vAlign w:val="center"/>
          </w:tcPr>
          <w:p w14:paraId="3D21012B">
            <w:pPr>
              <w:widowControl/>
              <w:jc w:val="center"/>
              <w:rPr>
                <w:rFonts w:hint="eastAsia" w:ascii="宋体" w:hAnsi="宋体"/>
                <w:color w:val="auto"/>
                <w:szCs w:val="21"/>
                <w:highlight w:val="none"/>
              </w:rPr>
            </w:pPr>
          </w:p>
        </w:tc>
        <w:tc>
          <w:tcPr>
            <w:tcW w:w="993" w:type="dxa"/>
            <w:vAlign w:val="center"/>
          </w:tcPr>
          <w:p w14:paraId="71286D3F">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43BA9867">
            <w:pPr>
              <w:widowControl/>
              <w:jc w:val="center"/>
              <w:rPr>
                <w:rFonts w:hint="eastAsia" w:ascii="宋体" w:hAnsi="宋体"/>
                <w:color w:val="auto"/>
                <w:szCs w:val="21"/>
                <w:highlight w:val="none"/>
              </w:rPr>
            </w:pPr>
          </w:p>
        </w:tc>
        <w:tc>
          <w:tcPr>
            <w:tcW w:w="1843" w:type="dxa"/>
            <w:vAlign w:val="center"/>
          </w:tcPr>
          <w:p w14:paraId="7AE25FF9">
            <w:pPr>
              <w:widowControl/>
              <w:jc w:val="center"/>
              <w:rPr>
                <w:rFonts w:hint="eastAsia" w:ascii="宋体" w:hAnsi="宋体"/>
                <w:color w:val="auto"/>
                <w:szCs w:val="21"/>
                <w:highlight w:val="none"/>
              </w:rPr>
            </w:pPr>
          </w:p>
        </w:tc>
        <w:tc>
          <w:tcPr>
            <w:tcW w:w="567" w:type="dxa"/>
            <w:vAlign w:val="center"/>
          </w:tcPr>
          <w:p w14:paraId="5F26498D">
            <w:pPr>
              <w:widowControl/>
              <w:jc w:val="center"/>
              <w:rPr>
                <w:rFonts w:hint="eastAsia" w:ascii="宋体" w:hAnsi="宋体"/>
                <w:color w:val="auto"/>
                <w:szCs w:val="21"/>
                <w:highlight w:val="none"/>
              </w:rPr>
            </w:pPr>
          </w:p>
        </w:tc>
      </w:tr>
      <w:tr w14:paraId="7913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14763" w:type="dxa"/>
            <w:gridSpan w:val="11"/>
            <w:vAlign w:val="center"/>
          </w:tcPr>
          <w:p w14:paraId="5E8D9827">
            <w:pPr>
              <w:widowControl/>
              <w:rPr>
                <w:rFonts w:hint="eastAsia" w:ascii="宋体" w:hAnsi="宋体"/>
                <w:color w:val="auto"/>
                <w:szCs w:val="21"/>
                <w:highlight w:val="none"/>
              </w:rPr>
            </w:pPr>
            <w:r>
              <w:rPr>
                <w:rFonts w:hint="eastAsia" w:ascii="宋体" w:hAnsi="宋体"/>
                <w:color w:val="auto"/>
                <w:szCs w:val="21"/>
                <w:highlight w:val="none"/>
              </w:rPr>
              <w:t>总计（元）：</w:t>
            </w:r>
          </w:p>
        </w:tc>
      </w:tr>
    </w:tbl>
    <w:p w14:paraId="6D67A86C">
      <w:pPr>
        <w:rPr>
          <w:rFonts w:hint="eastAsia" w:ascii="宋体" w:hAnsi="宋体"/>
          <w:vanish/>
          <w:color w:val="auto"/>
          <w:highlight w:val="none"/>
        </w:rPr>
      </w:pPr>
    </w:p>
    <w:p w14:paraId="1500AD6D">
      <w:pPr>
        <w:rPr>
          <w:rFonts w:hint="eastAsia" w:ascii="宋体" w:hAnsi="宋体"/>
          <w:b/>
          <w:bCs/>
          <w:color w:val="auto"/>
          <w:szCs w:val="21"/>
          <w:highlight w:val="none"/>
        </w:rPr>
      </w:pPr>
      <w:r>
        <w:rPr>
          <w:rFonts w:hint="eastAsia" w:ascii="宋体" w:hAnsi="宋体"/>
          <w:b/>
          <w:bCs/>
          <w:color w:val="auto"/>
          <w:szCs w:val="21"/>
          <w:highlight w:val="none"/>
        </w:rPr>
        <w:t>注：</w:t>
      </w:r>
    </w:p>
    <w:p w14:paraId="5609FAE0">
      <w:pPr>
        <w:rPr>
          <w:rFonts w:hint="eastAsia" w:ascii="宋体" w:hAnsi="宋体"/>
          <w:b/>
          <w:bCs/>
          <w:color w:val="auto"/>
          <w:szCs w:val="21"/>
          <w:highlight w:val="none"/>
        </w:rPr>
      </w:pPr>
      <w:r>
        <w:rPr>
          <w:rFonts w:hint="eastAsia"/>
          <w:color w:val="auto"/>
          <w:highlight w:val="none"/>
        </w:rPr>
        <w:t>★</w:t>
      </w:r>
      <w:r>
        <w:rPr>
          <w:rFonts w:ascii="宋体" w:hAnsi="宋体"/>
          <w:b/>
          <w:bCs/>
          <w:color w:val="auto"/>
          <w:szCs w:val="21"/>
          <w:highlight w:val="none"/>
        </w:rPr>
        <w:t>1</w:t>
      </w:r>
      <w:r>
        <w:rPr>
          <w:rFonts w:hint="eastAsia" w:ascii="宋体" w:hAnsi="宋体"/>
          <w:b/>
          <w:bCs/>
          <w:color w:val="auto"/>
          <w:szCs w:val="21"/>
          <w:highlight w:val="none"/>
        </w:rPr>
        <w:t>、投标人必须将招标文件第五章“项目需求及技术要求”中采购货物按顺序逐项填报此表，不得缺项漏项或任意合并项目报价，必须按本表格式填写，否则评委可视为未响应招标文件实质性要求。</w:t>
      </w:r>
    </w:p>
    <w:p w14:paraId="57EA39C4">
      <w:pPr>
        <w:rPr>
          <w:rFonts w:hint="eastAsia" w:ascii="宋体" w:hAnsi="宋体"/>
          <w:b/>
          <w:bCs/>
          <w:color w:val="auto"/>
          <w:szCs w:val="21"/>
          <w:highlight w:val="none"/>
        </w:rPr>
      </w:pPr>
      <w:r>
        <w:rPr>
          <w:rFonts w:ascii="宋体" w:hAnsi="宋体"/>
          <w:b/>
          <w:bCs/>
          <w:color w:val="auto"/>
          <w:szCs w:val="21"/>
          <w:highlight w:val="none"/>
        </w:rPr>
        <w:t>2</w:t>
      </w:r>
      <w:r>
        <w:rPr>
          <w:rFonts w:hint="eastAsia" w:ascii="宋体" w:hAnsi="宋体"/>
          <w:b/>
          <w:bCs/>
          <w:color w:val="auto"/>
          <w:szCs w:val="21"/>
          <w:highlight w:val="none"/>
        </w:rPr>
        <w:t>、投标报价包括但不仅限于投标产品的出厂价，运杂费用、技术服务费，保证期内缺陷的修复补救费用，市场价格变化的风险费用、利润、税金、代理服务费等的总和，该报价应考虑市场风险、政策性风险、汇率风险等因素，并能保证投标人完成履行合同所需的全部工作，此价格在合同签订后将不作调整。</w:t>
      </w:r>
    </w:p>
    <w:p w14:paraId="4FB6FE9A">
      <w:pPr>
        <w:rPr>
          <w:rFonts w:hint="eastAsia" w:ascii="宋体" w:hAnsi="宋体"/>
          <w:b/>
          <w:bCs/>
          <w:color w:val="auto"/>
          <w:szCs w:val="21"/>
          <w:highlight w:val="none"/>
        </w:rPr>
      </w:pPr>
      <w:r>
        <w:rPr>
          <w:rFonts w:ascii="宋体" w:hAnsi="宋体"/>
          <w:b/>
          <w:bCs/>
          <w:color w:val="auto"/>
          <w:szCs w:val="21"/>
          <w:highlight w:val="none"/>
        </w:rPr>
        <w:t>3</w:t>
      </w:r>
      <w:r>
        <w:rPr>
          <w:rFonts w:hint="eastAsia" w:ascii="宋体" w:hAnsi="宋体"/>
          <w:b/>
          <w:bCs/>
          <w:color w:val="auto"/>
          <w:szCs w:val="21"/>
          <w:highlight w:val="none"/>
        </w:rPr>
        <w:t>、“制造商规模类型”列中如实填写“中型企业”、“小型企业”、“微型企业”、“残疾人福利性单位”、“监狱企业”或“其他”，并按招标文件要求提供《中小企业声明函》。本项填报的制造商规模类型应与《中小企业声明函》中的规模一致，若出现内容矛盾、前后不一致的，以《中小企业声明函》为准。</w:t>
      </w:r>
    </w:p>
    <w:p w14:paraId="3A523116">
      <w:pPr>
        <w:rPr>
          <w:rFonts w:hint="eastAsia" w:ascii="宋体" w:hAnsi="宋体"/>
          <w:b/>
          <w:bCs/>
          <w:color w:val="auto"/>
          <w:szCs w:val="21"/>
          <w:highlight w:val="none"/>
        </w:rPr>
      </w:pPr>
      <w:r>
        <w:rPr>
          <w:rFonts w:hint="eastAsia" w:ascii="宋体" w:hAnsi="宋体"/>
          <w:b/>
          <w:bCs/>
          <w:color w:val="auto"/>
          <w:szCs w:val="21"/>
          <w:highlight w:val="none"/>
        </w:rPr>
        <w:t>★4、若投标人的投标报价超过最高限价或单价限价的，按不实质性响应招标文件要求处理。</w:t>
      </w:r>
    </w:p>
    <w:p w14:paraId="7E31FC58">
      <w:pPr>
        <w:rPr>
          <w:rFonts w:hint="eastAsia" w:ascii="宋体" w:hAnsi="宋体"/>
          <w:b/>
          <w:bCs/>
          <w:color w:val="auto"/>
          <w:szCs w:val="21"/>
          <w:highlight w:val="none"/>
        </w:rPr>
      </w:pPr>
    </w:p>
    <w:p w14:paraId="5EAAB6A0">
      <w:pPr>
        <w:rPr>
          <w:rFonts w:hint="eastAsia" w:ascii="宋体" w:hAnsi="宋体"/>
          <w:bCs/>
          <w:color w:val="auto"/>
          <w:szCs w:val="21"/>
          <w:highlight w:val="none"/>
        </w:rPr>
      </w:pPr>
      <w:r>
        <w:rPr>
          <w:rFonts w:hint="eastAsia" w:ascii="宋体" w:hAnsi="宋体"/>
          <w:bCs/>
          <w:color w:val="auto"/>
          <w:szCs w:val="21"/>
          <w:highlight w:val="none"/>
        </w:rPr>
        <w:t>投标人：（电子签章）</w:t>
      </w:r>
    </w:p>
    <w:p w14:paraId="562CFF4D">
      <w:pPr>
        <w:rPr>
          <w:rFonts w:hint="eastAsia" w:ascii="宋体" w:hAnsi="宋体"/>
          <w:bCs/>
          <w:color w:val="auto"/>
          <w:szCs w:val="21"/>
          <w:highlight w:val="none"/>
        </w:rPr>
      </w:pPr>
      <w:r>
        <w:rPr>
          <w:rFonts w:hint="eastAsia" w:ascii="宋体" w:hAnsi="宋体"/>
          <w:bCs/>
          <w:color w:val="auto"/>
          <w:szCs w:val="21"/>
          <w:highlight w:val="none"/>
        </w:rPr>
        <w:t>法定代表人或其委托代理人：（签名或电子签章）</w:t>
      </w:r>
    </w:p>
    <w:p w14:paraId="174B0B63">
      <w:pPr>
        <w:rPr>
          <w:rFonts w:hint="eastAsia" w:ascii="宋体" w:hAnsi="宋体"/>
          <w:bCs/>
          <w:color w:val="auto"/>
          <w:szCs w:val="21"/>
          <w:highlight w:val="none"/>
        </w:rPr>
      </w:pPr>
      <w:r>
        <w:rPr>
          <w:rFonts w:hint="eastAsia" w:ascii="宋体" w:hAnsi="宋体"/>
          <w:bCs/>
          <w:color w:val="auto"/>
          <w:szCs w:val="21"/>
          <w:highlight w:val="none"/>
        </w:rPr>
        <w:t>日期：年月日</w:t>
      </w:r>
    </w:p>
    <w:p w14:paraId="35008359">
      <w:pPr>
        <w:pStyle w:val="19"/>
        <w:rPr>
          <w:rFonts w:hint="eastAsia"/>
          <w:color w:val="auto"/>
          <w:highlight w:val="none"/>
        </w:rPr>
        <w:sectPr>
          <w:headerReference r:id="rId10" w:type="first"/>
          <w:pgSz w:w="16838" w:h="11906" w:orient="landscape"/>
          <w:pgMar w:top="1134" w:right="1276" w:bottom="1134" w:left="1276" w:header="680" w:footer="680" w:gutter="0"/>
          <w:cols w:space="720" w:num="1"/>
          <w:titlePg/>
          <w:docGrid w:linePitch="331" w:charSpace="0"/>
        </w:sectPr>
      </w:pPr>
    </w:p>
    <w:p w14:paraId="6FBBB184">
      <w:pPr>
        <w:pStyle w:val="5"/>
        <w:rPr>
          <w:color w:val="auto"/>
          <w:highlight w:val="none"/>
        </w:rPr>
      </w:pPr>
      <w:bookmarkStart w:id="140" w:name="_Toc25646"/>
      <w:bookmarkStart w:id="141" w:name="_Toc141099669"/>
      <w:bookmarkStart w:id="142" w:name="_Toc101004110"/>
      <w:r>
        <w:rPr>
          <w:rFonts w:hint="eastAsia"/>
          <w:color w:val="auto"/>
          <w:highlight w:val="none"/>
        </w:rPr>
        <w:t>（三）法定代表人身份证明书</w:t>
      </w:r>
    </w:p>
    <w:p w14:paraId="0E95FA09">
      <w:pPr>
        <w:spacing w:line="440" w:lineRule="exact"/>
        <w:jc w:val="center"/>
        <w:rPr>
          <w:rFonts w:hint="eastAsia" w:ascii="宋体" w:hAnsi="宋体"/>
          <w:b/>
          <w:color w:val="auto"/>
          <w:sz w:val="30"/>
          <w:szCs w:val="30"/>
          <w:highlight w:val="none"/>
        </w:rPr>
      </w:pPr>
    </w:p>
    <w:p w14:paraId="2AA5E018">
      <w:pPr>
        <w:spacing w:line="360" w:lineRule="auto"/>
        <w:rPr>
          <w:rFonts w:hint="eastAsia" w:ascii="宋体" w:hAnsi="宋体"/>
          <w:color w:val="auto"/>
          <w:sz w:val="24"/>
          <w:highlight w:val="none"/>
        </w:rPr>
      </w:pPr>
      <w:r>
        <w:rPr>
          <w:rFonts w:hint="eastAsia" w:ascii="宋体" w:hAnsi="宋体"/>
          <w:color w:val="auto"/>
          <w:sz w:val="24"/>
          <w:highlight w:val="none"/>
        </w:rPr>
        <w:t>投标人名称：</w:t>
      </w:r>
    </w:p>
    <w:p w14:paraId="3892D4BB">
      <w:pPr>
        <w:spacing w:line="360" w:lineRule="auto"/>
        <w:rPr>
          <w:rFonts w:hint="eastAsia" w:ascii="宋体" w:hAnsi="宋体"/>
          <w:color w:val="auto"/>
          <w:sz w:val="24"/>
          <w:highlight w:val="none"/>
        </w:rPr>
      </w:pPr>
      <w:r>
        <w:rPr>
          <w:rFonts w:hint="eastAsia" w:ascii="宋体" w:hAnsi="宋体"/>
          <w:color w:val="auto"/>
          <w:sz w:val="24"/>
          <w:highlight w:val="none"/>
        </w:rPr>
        <w:t>单位性质：</w:t>
      </w:r>
    </w:p>
    <w:p w14:paraId="73F7E5DE">
      <w:pPr>
        <w:spacing w:line="360" w:lineRule="auto"/>
        <w:rPr>
          <w:rFonts w:hint="eastAsia" w:ascii="宋体" w:hAnsi="宋体"/>
          <w:color w:val="auto"/>
          <w:sz w:val="24"/>
          <w:highlight w:val="none"/>
        </w:rPr>
      </w:pPr>
      <w:r>
        <w:rPr>
          <w:rFonts w:hint="eastAsia" w:ascii="宋体" w:hAnsi="宋体"/>
          <w:color w:val="auto"/>
          <w:sz w:val="24"/>
          <w:highlight w:val="none"/>
        </w:rPr>
        <w:t>成立时间：年月日</w:t>
      </w:r>
    </w:p>
    <w:p w14:paraId="083A70FC">
      <w:pPr>
        <w:spacing w:line="360" w:lineRule="auto"/>
        <w:rPr>
          <w:rFonts w:hint="eastAsia" w:ascii="宋体" w:hAnsi="宋体"/>
          <w:color w:val="auto"/>
          <w:sz w:val="24"/>
          <w:highlight w:val="none"/>
        </w:rPr>
      </w:pPr>
      <w:r>
        <w:rPr>
          <w:rFonts w:hint="eastAsia" w:ascii="宋体" w:hAnsi="宋体"/>
          <w:color w:val="auto"/>
          <w:sz w:val="24"/>
          <w:highlight w:val="none"/>
        </w:rPr>
        <w:t>经营期限：</w:t>
      </w:r>
    </w:p>
    <w:p w14:paraId="450D266C">
      <w:pPr>
        <w:spacing w:line="360" w:lineRule="auto"/>
        <w:rPr>
          <w:rFonts w:hint="eastAsia" w:ascii="宋体" w:hAnsi="宋体"/>
          <w:color w:val="auto"/>
          <w:sz w:val="24"/>
          <w:highlight w:val="none"/>
        </w:rPr>
      </w:pPr>
      <w:r>
        <w:rPr>
          <w:rFonts w:hint="eastAsia" w:ascii="宋体" w:hAnsi="宋体"/>
          <w:color w:val="auto"/>
          <w:sz w:val="24"/>
          <w:highlight w:val="none"/>
        </w:rPr>
        <w:t>姓名：性别：年龄：职务：</w:t>
      </w:r>
    </w:p>
    <w:p w14:paraId="2487E3E3">
      <w:pPr>
        <w:spacing w:line="360" w:lineRule="auto"/>
        <w:rPr>
          <w:rFonts w:hint="eastAsia" w:ascii="宋体" w:hAnsi="宋体"/>
          <w:color w:val="auto"/>
          <w:sz w:val="24"/>
          <w:highlight w:val="none"/>
        </w:rPr>
      </w:pPr>
      <w:r>
        <w:rPr>
          <w:rFonts w:hint="eastAsia" w:ascii="宋体" w:hAnsi="宋体"/>
          <w:color w:val="auto"/>
          <w:sz w:val="24"/>
          <w:highlight w:val="none"/>
        </w:rPr>
        <w:t>系（投标人名称）的法定代表人。</w:t>
      </w:r>
    </w:p>
    <w:p w14:paraId="0C3E4F77">
      <w:pPr>
        <w:spacing w:line="360" w:lineRule="auto"/>
        <w:rPr>
          <w:rFonts w:hint="eastAsia" w:ascii="宋体" w:hAnsi="宋体"/>
          <w:color w:val="auto"/>
          <w:sz w:val="24"/>
          <w:highlight w:val="none"/>
        </w:rPr>
      </w:pPr>
    </w:p>
    <w:p w14:paraId="4D7B2D18">
      <w:pPr>
        <w:spacing w:line="360" w:lineRule="auto"/>
        <w:ind w:firstLine="480" w:firstLineChars="200"/>
        <w:rPr>
          <w:rFonts w:hint="eastAsia" w:ascii="宋体" w:hAnsi="宋体"/>
          <w:color w:val="auto"/>
          <w:sz w:val="24"/>
          <w:highlight w:val="none"/>
        </w:rPr>
      </w:pPr>
    </w:p>
    <w:p w14:paraId="097DD9A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特此证明。</w:t>
      </w:r>
    </w:p>
    <w:p w14:paraId="3C13664F">
      <w:pPr>
        <w:spacing w:line="360" w:lineRule="auto"/>
        <w:rPr>
          <w:rFonts w:hint="eastAsia" w:ascii="宋体" w:hAnsi="宋体"/>
          <w:color w:val="auto"/>
          <w:szCs w:val="21"/>
          <w:highlight w:val="none"/>
        </w:rPr>
      </w:pPr>
    </w:p>
    <w:p w14:paraId="4F48B698">
      <w:pPr>
        <w:spacing w:line="360" w:lineRule="auto"/>
        <w:rPr>
          <w:rFonts w:hint="eastAsia" w:ascii="宋体" w:hAnsi="宋体"/>
          <w:color w:val="auto"/>
          <w:szCs w:val="21"/>
          <w:highlight w:val="none"/>
        </w:rPr>
      </w:pPr>
    </w:p>
    <w:p w14:paraId="3391D384">
      <w:pPr>
        <w:pStyle w:val="19"/>
        <w:rPr>
          <w:rFonts w:hint="eastAsia"/>
          <w:color w:val="auto"/>
          <w:highlight w:val="none"/>
        </w:rPr>
      </w:pPr>
      <w:r>
        <w:rPr>
          <w:rFonts w:hint="eastAsia"/>
          <w:b/>
          <w:bCs/>
          <w:color w:val="auto"/>
          <w:highlight w:val="none"/>
        </w:rPr>
        <w:t>注:附法定代表人身份证（扫描件）。</w:t>
      </w:r>
    </w:p>
    <w:p w14:paraId="7C6C30D0">
      <w:pPr>
        <w:spacing w:line="360" w:lineRule="auto"/>
        <w:rPr>
          <w:rFonts w:hint="eastAsia" w:ascii="宋体" w:hAnsi="宋体"/>
          <w:color w:val="auto"/>
          <w:szCs w:val="21"/>
          <w:highlight w:val="none"/>
        </w:rPr>
      </w:pPr>
    </w:p>
    <w:p w14:paraId="5D998ECD">
      <w:pPr>
        <w:spacing w:line="360" w:lineRule="auto"/>
        <w:rPr>
          <w:rFonts w:hint="eastAsia" w:ascii="宋体" w:hAnsi="宋体"/>
          <w:color w:val="auto"/>
          <w:szCs w:val="21"/>
          <w:highlight w:val="none"/>
        </w:rPr>
      </w:pPr>
    </w:p>
    <w:p w14:paraId="67083665">
      <w:pPr>
        <w:spacing w:line="360" w:lineRule="auto"/>
        <w:ind w:firstLine="3386" w:firstLineChars="1411"/>
        <w:rPr>
          <w:rFonts w:hint="eastAsia" w:ascii="宋体" w:hAnsi="宋体"/>
          <w:color w:val="auto"/>
          <w:sz w:val="24"/>
          <w:highlight w:val="none"/>
        </w:rPr>
      </w:pPr>
      <w:r>
        <w:rPr>
          <w:rFonts w:hint="eastAsia" w:ascii="宋体" w:hAnsi="宋体"/>
          <w:color w:val="auto"/>
          <w:sz w:val="24"/>
          <w:highlight w:val="none"/>
        </w:rPr>
        <w:t>投标人</w:t>
      </w:r>
      <w:r>
        <w:rPr>
          <w:rFonts w:ascii="宋体" w:hAnsi="宋体"/>
          <w:color w:val="auto"/>
          <w:sz w:val="24"/>
          <w:highlight w:val="none"/>
        </w:rPr>
        <w:t>：（</w:t>
      </w:r>
      <w:r>
        <w:rPr>
          <w:rFonts w:hint="eastAsia" w:ascii="宋体" w:hAnsi="宋体"/>
          <w:color w:val="auto"/>
          <w:sz w:val="24"/>
          <w:highlight w:val="none"/>
        </w:rPr>
        <w:t>电子签章</w:t>
      </w:r>
      <w:r>
        <w:rPr>
          <w:rFonts w:ascii="宋体" w:hAnsi="宋体"/>
          <w:color w:val="auto"/>
          <w:sz w:val="24"/>
          <w:highlight w:val="none"/>
        </w:rPr>
        <w:t>）</w:t>
      </w:r>
    </w:p>
    <w:p w14:paraId="411BBE6C">
      <w:pPr>
        <w:spacing w:line="360" w:lineRule="auto"/>
        <w:ind w:firstLine="3386" w:firstLineChars="1411"/>
        <w:rPr>
          <w:rFonts w:hint="eastAsia" w:ascii="宋体" w:hAnsi="宋体"/>
          <w:color w:val="auto"/>
          <w:sz w:val="24"/>
          <w:highlight w:val="none"/>
          <w:u w:val="single"/>
        </w:rPr>
      </w:pPr>
    </w:p>
    <w:p w14:paraId="60650721">
      <w:pPr>
        <w:spacing w:line="360" w:lineRule="auto"/>
        <w:ind w:firstLine="3386" w:firstLineChars="1411"/>
        <w:rPr>
          <w:rFonts w:hint="eastAsia" w:ascii="宋体" w:hAnsi="宋体"/>
          <w:color w:val="auto"/>
          <w:sz w:val="24"/>
          <w:highlight w:val="none"/>
        </w:rPr>
      </w:pPr>
      <w:r>
        <w:rPr>
          <w:rFonts w:ascii="宋体" w:hAnsi="宋体"/>
          <w:color w:val="auto"/>
          <w:sz w:val="24"/>
          <w:highlight w:val="none"/>
        </w:rPr>
        <w:t>年月日</w:t>
      </w:r>
    </w:p>
    <w:p w14:paraId="1ECF6B49">
      <w:pPr>
        <w:spacing w:line="360" w:lineRule="auto"/>
        <w:ind w:left="5397" w:leftChars="2570"/>
        <w:rPr>
          <w:rFonts w:hint="eastAsia" w:ascii="宋体" w:hAnsi="宋体"/>
          <w:color w:val="auto"/>
          <w:sz w:val="24"/>
          <w:highlight w:val="none"/>
        </w:rPr>
      </w:pPr>
    </w:p>
    <w:p w14:paraId="16539162">
      <w:pPr>
        <w:spacing w:line="360" w:lineRule="auto"/>
        <w:rPr>
          <w:rFonts w:hint="eastAsia" w:ascii="宋体" w:hAnsi="宋体"/>
          <w:color w:val="auto"/>
          <w:szCs w:val="21"/>
          <w:highlight w:val="none"/>
        </w:rPr>
      </w:pPr>
    </w:p>
    <w:p w14:paraId="1EFD297B">
      <w:pPr>
        <w:pStyle w:val="19"/>
        <w:rPr>
          <w:rFonts w:hint="eastAsia"/>
          <w:color w:val="auto"/>
          <w:highlight w:val="none"/>
        </w:rPr>
      </w:pPr>
      <w:r>
        <w:rPr>
          <w:color w:val="auto"/>
          <w:highlight w:val="none"/>
        </w:rPr>
        <w:t xml:space="preserve"> </w:t>
      </w:r>
    </w:p>
    <w:p w14:paraId="712D1518">
      <w:pPr>
        <w:widowControl/>
        <w:jc w:val="left"/>
        <w:rPr>
          <w:rFonts w:hint="eastAsia" w:ascii="宋体" w:hAnsi="宋体"/>
          <w:b/>
          <w:color w:val="auto"/>
          <w:kern w:val="0"/>
          <w:sz w:val="32"/>
          <w:szCs w:val="32"/>
          <w:highlight w:val="none"/>
        </w:rPr>
      </w:pPr>
      <w:bookmarkStart w:id="143" w:name="_Toc101004098"/>
      <w:bookmarkStart w:id="144" w:name="_Toc213141107"/>
      <w:bookmarkStart w:id="145" w:name="_Toc493600019"/>
      <w:bookmarkStart w:id="146" w:name="_Toc141099656"/>
      <w:bookmarkStart w:id="147" w:name="_Toc13665007"/>
      <w:r>
        <w:rPr>
          <w:rFonts w:ascii="宋体" w:hAnsi="宋体"/>
          <w:color w:val="auto"/>
          <w:sz w:val="32"/>
          <w:szCs w:val="32"/>
          <w:highlight w:val="none"/>
        </w:rPr>
        <w:br w:type="page"/>
      </w:r>
    </w:p>
    <w:p w14:paraId="698F2982">
      <w:pPr>
        <w:pStyle w:val="5"/>
        <w:rPr>
          <w:color w:val="auto"/>
          <w:highlight w:val="none"/>
        </w:rPr>
      </w:pPr>
      <w:bookmarkStart w:id="148" w:name="_Toc25433"/>
      <w:r>
        <w:rPr>
          <w:rFonts w:hint="eastAsia"/>
          <w:color w:val="auto"/>
          <w:highlight w:val="none"/>
        </w:rPr>
        <w:t>（四）法定代表人授权委托书</w:t>
      </w:r>
      <w:bookmarkEnd w:id="143"/>
      <w:bookmarkEnd w:id="144"/>
      <w:bookmarkEnd w:id="145"/>
      <w:bookmarkEnd w:id="146"/>
      <w:bookmarkEnd w:id="147"/>
      <w:bookmarkEnd w:id="148"/>
    </w:p>
    <w:p w14:paraId="343860BB">
      <w:pPr>
        <w:pStyle w:val="19"/>
        <w:rPr>
          <w:rFonts w:hint="eastAsia"/>
          <w:color w:val="auto"/>
          <w:highlight w:val="none"/>
        </w:rPr>
      </w:pPr>
    </w:p>
    <w:p w14:paraId="71E3AD1D">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本授权书声明：</w:t>
      </w:r>
      <w:r>
        <w:rPr>
          <w:rFonts w:hint="eastAsia" w:ascii="宋体" w:hAnsi="宋体"/>
          <w:color w:val="auto"/>
          <w:sz w:val="24"/>
          <w:highlight w:val="none"/>
          <w:u w:val="single"/>
        </w:rPr>
        <w:t xml:space="preserve">  （投标人全称） </w:t>
      </w:r>
      <w:r>
        <w:rPr>
          <w:rFonts w:hint="eastAsia" w:ascii="宋体" w:hAnsi="宋体"/>
          <w:color w:val="auto"/>
          <w:sz w:val="24"/>
          <w:highlight w:val="none"/>
        </w:rPr>
        <w:t>的法定代表人代表本公司授权</w:t>
      </w:r>
      <w:r>
        <w:rPr>
          <w:rFonts w:hint="eastAsia" w:ascii="宋体" w:hAnsi="宋体"/>
          <w:color w:val="auto"/>
          <w:sz w:val="24"/>
          <w:highlight w:val="none"/>
          <w:u w:val="single"/>
        </w:rPr>
        <w:t>（委托代理人姓名）</w:t>
      </w:r>
      <w:r>
        <w:rPr>
          <w:rFonts w:hint="eastAsia" w:ascii="宋体" w:hAnsi="宋体"/>
          <w:color w:val="auto"/>
          <w:sz w:val="24"/>
          <w:highlight w:val="none"/>
        </w:rPr>
        <w:t>为本公司合法代理人，就贵方组织的有关</w:t>
      </w:r>
      <w:r>
        <w:rPr>
          <w:rFonts w:hint="eastAsia" w:ascii="宋体" w:hAnsi="宋体"/>
          <w:color w:val="auto"/>
          <w:sz w:val="24"/>
          <w:highlight w:val="none"/>
          <w:u w:val="single"/>
          <w:lang w:eastAsia="zh-CN"/>
        </w:rPr>
        <w:t>怒江州中医医院心肺康复设备采购项目</w:t>
      </w:r>
      <w:r>
        <w:rPr>
          <w:rFonts w:hint="eastAsia" w:ascii="宋体" w:hAnsi="宋体"/>
          <w:color w:val="auto"/>
          <w:sz w:val="24"/>
          <w:highlight w:val="none"/>
        </w:rPr>
        <w:t>（项目编号：</w:t>
      </w:r>
      <w:r>
        <w:rPr>
          <w:rFonts w:hint="eastAsia" w:ascii="宋体" w:hAnsi="宋体"/>
          <w:color w:val="auto"/>
          <w:sz w:val="24"/>
          <w:highlight w:val="none"/>
          <w:u w:val="single"/>
          <w:lang w:eastAsia="zh-CN"/>
        </w:rPr>
        <w:t xml:space="preserve"> NJZC2025-G1-00360-YZGF-1037</w:t>
      </w:r>
      <w:r>
        <w:rPr>
          <w:rFonts w:hint="eastAsia" w:ascii="宋体" w:hAnsi="宋体"/>
          <w:color w:val="auto"/>
          <w:sz w:val="24"/>
          <w:highlight w:val="none"/>
        </w:rPr>
        <w:t>）的</w:t>
      </w:r>
      <w:r>
        <w:rPr>
          <w:rFonts w:ascii="宋体" w:hAnsi="宋体"/>
          <w:color w:val="auto"/>
          <w:sz w:val="24"/>
          <w:highlight w:val="none"/>
        </w:rPr>
        <w:t>招标</w:t>
      </w:r>
      <w:r>
        <w:rPr>
          <w:rFonts w:hint="eastAsia" w:ascii="宋体" w:hAnsi="宋体"/>
          <w:color w:val="auto"/>
          <w:sz w:val="24"/>
          <w:highlight w:val="none"/>
        </w:rPr>
        <w:t>，以本单位名义</w:t>
      </w:r>
      <w:r>
        <w:rPr>
          <w:rFonts w:ascii="宋体" w:hAnsi="宋体"/>
          <w:color w:val="auto"/>
          <w:sz w:val="24"/>
          <w:highlight w:val="none"/>
        </w:rPr>
        <w:t>投标</w:t>
      </w:r>
      <w:r>
        <w:rPr>
          <w:rFonts w:hint="eastAsia" w:ascii="宋体" w:hAnsi="宋体"/>
          <w:color w:val="auto"/>
          <w:sz w:val="24"/>
          <w:highlight w:val="none"/>
        </w:rPr>
        <w:t>。</w:t>
      </w:r>
      <w:r>
        <w:rPr>
          <w:rFonts w:ascii="宋体" w:hAnsi="宋体"/>
          <w:color w:val="auto"/>
          <w:sz w:val="24"/>
          <w:highlight w:val="none"/>
        </w:rPr>
        <w:t>代理人在本项目投标过程中所签署的一切文件和处理与之有关的一切事务，我方均予承认。</w:t>
      </w:r>
    </w:p>
    <w:p w14:paraId="467520CE">
      <w:pPr>
        <w:pStyle w:val="19"/>
        <w:rPr>
          <w:rFonts w:hint="eastAsia"/>
          <w:color w:val="auto"/>
          <w:highlight w:val="none"/>
        </w:rPr>
      </w:pPr>
      <w:r>
        <w:rPr>
          <w:color w:val="auto"/>
          <w:highlight w:val="none"/>
        </w:rPr>
        <w:t>代理人无转委托权。</w:t>
      </w:r>
    </w:p>
    <w:p w14:paraId="16784EA3">
      <w:pPr>
        <w:pStyle w:val="19"/>
        <w:rPr>
          <w:rFonts w:hint="eastAsia"/>
          <w:color w:val="auto"/>
          <w:highlight w:val="none"/>
        </w:rPr>
      </w:pPr>
    </w:p>
    <w:p w14:paraId="206D87DA">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2501785C">
      <w:pPr>
        <w:spacing w:line="360" w:lineRule="auto"/>
        <w:rPr>
          <w:rFonts w:hint="eastAsia" w:ascii="宋体" w:hAnsi="宋体"/>
          <w:color w:val="auto"/>
          <w:sz w:val="24"/>
          <w:highlight w:val="none"/>
        </w:rPr>
      </w:pPr>
      <w:r>
        <w:rPr>
          <w:rFonts w:hint="eastAsia" w:ascii="宋体" w:hAnsi="宋体"/>
          <w:color w:val="auto"/>
          <w:sz w:val="24"/>
          <w:highlight w:val="none"/>
        </w:rPr>
        <w:t>法定代表人：（签名或电子签章）</w:t>
      </w:r>
    </w:p>
    <w:p w14:paraId="447323CF">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1031937E">
      <w:pPr>
        <w:spacing w:line="360" w:lineRule="auto"/>
        <w:ind w:left="4394" w:leftChars="1350" w:hanging="1559" w:hangingChars="647"/>
        <w:rPr>
          <w:rFonts w:hint="eastAsia" w:ascii="宋体" w:hAnsi="宋体"/>
          <w:b/>
          <w:color w:val="auto"/>
          <w:sz w:val="24"/>
          <w:highlight w:val="none"/>
        </w:rPr>
      </w:pPr>
    </w:p>
    <w:p w14:paraId="58F413B3">
      <w:pPr>
        <w:pStyle w:val="19"/>
        <w:rPr>
          <w:rFonts w:hint="eastAsia"/>
          <w:color w:val="auto"/>
          <w:highlight w:val="none"/>
        </w:rPr>
      </w:pPr>
      <w:r>
        <w:rPr>
          <w:rFonts w:hint="eastAsia"/>
          <w:color w:val="auto"/>
          <w:highlight w:val="none"/>
        </w:rPr>
        <w:t>_________________________________________________________________________________</w:t>
      </w:r>
    </w:p>
    <w:tbl>
      <w:tblPr>
        <w:tblStyle w:val="33"/>
        <w:tblW w:w="5868" w:type="dxa"/>
        <w:tblInd w:w="720" w:type="dxa"/>
        <w:tblLayout w:type="fixed"/>
        <w:tblCellMar>
          <w:top w:w="0" w:type="dxa"/>
          <w:left w:w="108" w:type="dxa"/>
          <w:bottom w:w="0" w:type="dxa"/>
          <w:right w:w="108" w:type="dxa"/>
        </w:tblCellMar>
      </w:tblPr>
      <w:tblGrid>
        <w:gridCol w:w="1908"/>
        <w:gridCol w:w="3960"/>
      </w:tblGrid>
      <w:tr w14:paraId="21113851">
        <w:tblPrEx>
          <w:tblCellMar>
            <w:top w:w="0" w:type="dxa"/>
            <w:left w:w="108" w:type="dxa"/>
            <w:bottom w:w="0" w:type="dxa"/>
            <w:right w:w="108" w:type="dxa"/>
          </w:tblCellMar>
        </w:tblPrEx>
        <w:tc>
          <w:tcPr>
            <w:tcW w:w="1908" w:type="dxa"/>
            <w:tcBorders>
              <w:top w:val="nil"/>
              <w:left w:val="nil"/>
              <w:bottom w:val="nil"/>
              <w:right w:val="nil"/>
            </w:tcBorders>
          </w:tcPr>
          <w:p w14:paraId="26A4AC72">
            <w:pPr>
              <w:pStyle w:val="19"/>
              <w:rPr>
                <w:rFonts w:hint="eastAsia"/>
                <w:color w:val="auto"/>
                <w:highlight w:val="none"/>
              </w:rPr>
            </w:pPr>
            <w:r>
              <w:rPr>
                <w:rFonts w:hint="eastAsia"/>
                <w:color w:val="auto"/>
                <w:highlight w:val="none"/>
              </w:rPr>
              <w:t xml:space="preserve">附： </w:t>
            </w:r>
          </w:p>
        </w:tc>
        <w:tc>
          <w:tcPr>
            <w:tcW w:w="3960" w:type="dxa"/>
            <w:tcBorders>
              <w:top w:val="nil"/>
              <w:left w:val="nil"/>
              <w:bottom w:val="nil"/>
              <w:right w:val="nil"/>
            </w:tcBorders>
          </w:tcPr>
          <w:p w14:paraId="167852E7">
            <w:pPr>
              <w:pStyle w:val="19"/>
              <w:rPr>
                <w:rFonts w:hint="eastAsia"/>
                <w:color w:val="auto"/>
                <w:highlight w:val="none"/>
              </w:rPr>
            </w:pPr>
            <w:r>
              <w:rPr>
                <w:rFonts w:hint="eastAsia"/>
                <w:color w:val="auto"/>
                <w:highlight w:val="none"/>
              </w:rPr>
              <w:tab/>
            </w:r>
            <w:r>
              <w:rPr>
                <w:rFonts w:hint="eastAsia"/>
                <w:color w:val="auto"/>
                <w:highlight w:val="none"/>
              </w:rPr>
              <w:tab/>
            </w:r>
            <w:r>
              <w:rPr>
                <w:rFonts w:hint="eastAsia"/>
                <w:color w:val="auto"/>
                <w:highlight w:val="none"/>
              </w:rPr>
              <w:tab/>
            </w:r>
            <w:r>
              <w:rPr>
                <w:rFonts w:hint="eastAsia"/>
                <w:color w:val="auto"/>
                <w:highlight w:val="none"/>
              </w:rPr>
              <w:tab/>
            </w:r>
            <w:r>
              <w:rPr>
                <w:rFonts w:hint="eastAsia"/>
                <w:color w:val="auto"/>
                <w:highlight w:val="none"/>
              </w:rPr>
              <w:tab/>
            </w:r>
          </w:p>
        </w:tc>
      </w:tr>
      <w:tr w14:paraId="22399AD8">
        <w:tblPrEx>
          <w:tblCellMar>
            <w:top w:w="0" w:type="dxa"/>
            <w:left w:w="108" w:type="dxa"/>
            <w:bottom w:w="0" w:type="dxa"/>
            <w:right w:w="108" w:type="dxa"/>
          </w:tblCellMar>
        </w:tblPrEx>
        <w:tc>
          <w:tcPr>
            <w:tcW w:w="1908" w:type="dxa"/>
            <w:tcBorders>
              <w:top w:val="nil"/>
              <w:left w:val="nil"/>
              <w:bottom w:val="nil"/>
              <w:right w:val="nil"/>
            </w:tcBorders>
          </w:tcPr>
          <w:p w14:paraId="2CAA5172">
            <w:pPr>
              <w:pStyle w:val="19"/>
              <w:rPr>
                <w:rFonts w:hint="eastAsia"/>
                <w:color w:val="auto"/>
                <w:highlight w:val="none"/>
              </w:rPr>
            </w:pPr>
            <w:r>
              <w:rPr>
                <w:rFonts w:hint="eastAsia"/>
                <w:color w:val="auto"/>
                <w:highlight w:val="none"/>
              </w:rPr>
              <w:t>委托代理人姓名：</w:t>
            </w:r>
          </w:p>
        </w:tc>
        <w:tc>
          <w:tcPr>
            <w:tcW w:w="3960" w:type="dxa"/>
            <w:tcBorders>
              <w:top w:val="nil"/>
              <w:left w:val="nil"/>
              <w:bottom w:val="nil"/>
              <w:right w:val="nil"/>
            </w:tcBorders>
          </w:tcPr>
          <w:p w14:paraId="1D0349F9">
            <w:pPr>
              <w:pStyle w:val="19"/>
              <w:rPr>
                <w:rFonts w:hint="eastAsia"/>
                <w:color w:val="auto"/>
                <w:highlight w:val="none"/>
              </w:rPr>
            </w:pPr>
          </w:p>
        </w:tc>
      </w:tr>
      <w:tr w14:paraId="198380BB">
        <w:tblPrEx>
          <w:tblCellMar>
            <w:top w:w="0" w:type="dxa"/>
            <w:left w:w="108" w:type="dxa"/>
            <w:bottom w:w="0" w:type="dxa"/>
            <w:right w:w="108" w:type="dxa"/>
          </w:tblCellMar>
        </w:tblPrEx>
        <w:tc>
          <w:tcPr>
            <w:tcW w:w="1908" w:type="dxa"/>
            <w:tcBorders>
              <w:top w:val="nil"/>
              <w:left w:val="nil"/>
              <w:bottom w:val="nil"/>
              <w:right w:val="nil"/>
            </w:tcBorders>
          </w:tcPr>
          <w:p w14:paraId="16F60B97">
            <w:pPr>
              <w:pStyle w:val="19"/>
              <w:rPr>
                <w:rFonts w:hint="eastAsia"/>
                <w:color w:val="auto"/>
                <w:highlight w:val="none"/>
              </w:rPr>
            </w:pPr>
            <w:r>
              <w:rPr>
                <w:rFonts w:hint="eastAsia"/>
                <w:color w:val="auto"/>
                <w:highlight w:val="none"/>
              </w:rPr>
              <w:t>职       务：</w:t>
            </w:r>
          </w:p>
        </w:tc>
        <w:tc>
          <w:tcPr>
            <w:tcW w:w="3960" w:type="dxa"/>
            <w:tcBorders>
              <w:top w:val="nil"/>
              <w:left w:val="nil"/>
              <w:bottom w:val="nil"/>
              <w:right w:val="nil"/>
            </w:tcBorders>
          </w:tcPr>
          <w:p w14:paraId="78275F64">
            <w:pPr>
              <w:pStyle w:val="19"/>
              <w:rPr>
                <w:rFonts w:hint="eastAsia"/>
                <w:color w:val="auto"/>
                <w:highlight w:val="none"/>
              </w:rPr>
            </w:pPr>
          </w:p>
        </w:tc>
      </w:tr>
      <w:tr w14:paraId="31846664">
        <w:tblPrEx>
          <w:tblCellMar>
            <w:top w:w="0" w:type="dxa"/>
            <w:left w:w="108" w:type="dxa"/>
            <w:bottom w:w="0" w:type="dxa"/>
            <w:right w:w="108" w:type="dxa"/>
          </w:tblCellMar>
        </w:tblPrEx>
        <w:tc>
          <w:tcPr>
            <w:tcW w:w="1908" w:type="dxa"/>
            <w:tcBorders>
              <w:top w:val="nil"/>
              <w:left w:val="nil"/>
              <w:bottom w:val="nil"/>
              <w:right w:val="nil"/>
            </w:tcBorders>
          </w:tcPr>
          <w:p w14:paraId="64EE5415">
            <w:pPr>
              <w:pStyle w:val="19"/>
              <w:rPr>
                <w:rFonts w:hint="eastAsia"/>
                <w:color w:val="auto"/>
                <w:highlight w:val="none"/>
              </w:rPr>
            </w:pPr>
            <w:r>
              <w:rPr>
                <w:rFonts w:hint="eastAsia"/>
                <w:color w:val="auto"/>
                <w:highlight w:val="none"/>
              </w:rPr>
              <w:t>身份证号码：</w:t>
            </w:r>
          </w:p>
        </w:tc>
        <w:tc>
          <w:tcPr>
            <w:tcW w:w="3960" w:type="dxa"/>
            <w:tcBorders>
              <w:top w:val="nil"/>
              <w:left w:val="nil"/>
              <w:bottom w:val="nil"/>
              <w:right w:val="nil"/>
            </w:tcBorders>
          </w:tcPr>
          <w:p w14:paraId="261C94C7">
            <w:pPr>
              <w:pStyle w:val="19"/>
              <w:rPr>
                <w:rFonts w:hint="eastAsia"/>
                <w:color w:val="auto"/>
                <w:highlight w:val="none"/>
              </w:rPr>
            </w:pPr>
          </w:p>
        </w:tc>
      </w:tr>
      <w:tr w14:paraId="1CA341E8">
        <w:tblPrEx>
          <w:tblCellMar>
            <w:top w:w="0" w:type="dxa"/>
            <w:left w:w="108" w:type="dxa"/>
            <w:bottom w:w="0" w:type="dxa"/>
            <w:right w:w="108" w:type="dxa"/>
          </w:tblCellMar>
        </w:tblPrEx>
        <w:tc>
          <w:tcPr>
            <w:tcW w:w="1908" w:type="dxa"/>
            <w:tcBorders>
              <w:top w:val="nil"/>
              <w:left w:val="nil"/>
              <w:bottom w:val="nil"/>
              <w:right w:val="nil"/>
            </w:tcBorders>
          </w:tcPr>
          <w:p w14:paraId="3F58EAD6">
            <w:pPr>
              <w:pStyle w:val="19"/>
              <w:rPr>
                <w:rFonts w:hint="eastAsia"/>
                <w:color w:val="auto"/>
                <w:highlight w:val="none"/>
              </w:rPr>
            </w:pPr>
            <w:r>
              <w:rPr>
                <w:rFonts w:hint="eastAsia"/>
                <w:color w:val="auto"/>
                <w:highlight w:val="none"/>
              </w:rPr>
              <w:t>详 细  地 址：</w:t>
            </w:r>
          </w:p>
        </w:tc>
        <w:tc>
          <w:tcPr>
            <w:tcW w:w="3960" w:type="dxa"/>
            <w:tcBorders>
              <w:top w:val="nil"/>
              <w:left w:val="nil"/>
              <w:bottom w:val="nil"/>
              <w:right w:val="nil"/>
            </w:tcBorders>
          </w:tcPr>
          <w:p w14:paraId="5135EBC8">
            <w:pPr>
              <w:pStyle w:val="19"/>
              <w:rPr>
                <w:rFonts w:hint="eastAsia"/>
                <w:color w:val="auto"/>
                <w:highlight w:val="none"/>
              </w:rPr>
            </w:pPr>
          </w:p>
        </w:tc>
      </w:tr>
      <w:tr w14:paraId="75FE077C">
        <w:tblPrEx>
          <w:tblCellMar>
            <w:top w:w="0" w:type="dxa"/>
            <w:left w:w="108" w:type="dxa"/>
            <w:bottom w:w="0" w:type="dxa"/>
            <w:right w:w="108" w:type="dxa"/>
          </w:tblCellMar>
        </w:tblPrEx>
        <w:tc>
          <w:tcPr>
            <w:tcW w:w="1908" w:type="dxa"/>
            <w:tcBorders>
              <w:top w:val="nil"/>
              <w:left w:val="nil"/>
              <w:bottom w:val="nil"/>
              <w:right w:val="nil"/>
            </w:tcBorders>
          </w:tcPr>
          <w:p w14:paraId="3E242A7D">
            <w:pPr>
              <w:pStyle w:val="19"/>
              <w:rPr>
                <w:rFonts w:hint="eastAsia"/>
                <w:color w:val="auto"/>
                <w:highlight w:val="none"/>
              </w:rPr>
            </w:pPr>
            <w:r>
              <w:rPr>
                <w:rFonts w:hint="eastAsia"/>
                <w:color w:val="auto"/>
                <w:highlight w:val="none"/>
              </w:rPr>
              <w:t>电       话：</w:t>
            </w:r>
          </w:p>
        </w:tc>
        <w:tc>
          <w:tcPr>
            <w:tcW w:w="3960" w:type="dxa"/>
            <w:tcBorders>
              <w:top w:val="nil"/>
              <w:left w:val="nil"/>
              <w:bottom w:val="nil"/>
              <w:right w:val="nil"/>
            </w:tcBorders>
          </w:tcPr>
          <w:p w14:paraId="0C7EC2A6">
            <w:pPr>
              <w:pStyle w:val="19"/>
              <w:rPr>
                <w:rFonts w:hint="eastAsia"/>
                <w:color w:val="auto"/>
                <w:highlight w:val="none"/>
              </w:rPr>
            </w:pPr>
          </w:p>
        </w:tc>
      </w:tr>
    </w:tbl>
    <w:p w14:paraId="2D720E31">
      <w:pPr>
        <w:pStyle w:val="19"/>
        <w:rPr>
          <w:rFonts w:hint="eastAsia"/>
          <w:color w:val="auto"/>
          <w:highlight w:val="none"/>
        </w:rPr>
      </w:pPr>
    </w:p>
    <w:p w14:paraId="0B97483E">
      <w:pPr>
        <w:pStyle w:val="19"/>
        <w:rPr>
          <w:rFonts w:hint="eastAsia"/>
          <w:color w:val="auto"/>
          <w:highlight w:val="none"/>
        </w:rPr>
      </w:pPr>
    </w:p>
    <w:p w14:paraId="45BB2F37">
      <w:pPr>
        <w:pStyle w:val="19"/>
        <w:rPr>
          <w:rFonts w:hint="eastAsia"/>
          <w:b/>
          <w:color w:val="auto"/>
          <w:highlight w:val="none"/>
        </w:rPr>
      </w:pPr>
      <w:r>
        <w:rPr>
          <w:rFonts w:hint="eastAsia"/>
          <w:b/>
          <w:color w:val="auto"/>
          <w:highlight w:val="none"/>
        </w:rPr>
        <w:t>注:1.附委托代理人身份证（扫描件）。</w:t>
      </w:r>
    </w:p>
    <w:p w14:paraId="390F2FC4">
      <w:pPr>
        <w:pStyle w:val="19"/>
        <w:rPr>
          <w:rFonts w:hint="eastAsia"/>
          <w:b/>
          <w:color w:val="auto"/>
          <w:highlight w:val="none"/>
        </w:rPr>
      </w:pPr>
      <w:r>
        <w:rPr>
          <w:rFonts w:hint="eastAsia"/>
          <w:b/>
          <w:color w:val="auto"/>
          <w:highlight w:val="none"/>
        </w:rPr>
        <w:t>2.有委托代理人的情况填写，没有委托代理人则无需填写。</w:t>
      </w:r>
    </w:p>
    <w:p w14:paraId="16A8436E">
      <w:pPr>
        <w:pStyle w:val="19"/>
        <w:rPr>
          <w:rFonts w:hint="eastAsia"/>
          <w:b/>
          <w:color w:val="auto"/>
          <w:highlight w:val="none"/>
        </w:rPr>
      </w:pPr>
      <w:r>
        <w:rPr>
          <w:rFonts w:hint="eastAsia"/>
          <w:b/>
          <w:color w:val="auto"/>
          <w:highlight w:val="none"/>
        </w:rPr>
        <w:t>3.有委托代理人需要填写此表时，需要确保委托代理人为投标人本单位员工，提供委托代理人社保缴纳记录证明。</w:t>
      </w:r>
    </w:p>
    <w:p w14:paraId="502F828A">
      <w:pPr>
        <w:widowControl/>
        <w:jc w:val="left"/>
        <w:rPr>
          <w:rFonts w:eastAsia="黑体"/>
          <w:b/>
          <w:color w:val="auto"/>
          <w:kern w:val="0"/>
          <w:sz w:val="28"/>
          <w:szCs w:val="20"/>
          <w:highlight w:val="none"/>
        </w:rPr>
      </w:pPr>
      <w:r>
        <w:rPr>
          <w:color w:val="auto"/>
          <w:highlight w:val="none"/>
        </w:rPr>
        <w:br w:type="page"/>
      </w:r>
    </w:p>
    <w:p w14:paraId="49AFCF16">
      <w:pPr>
        <w:pStyle w:val="5"/>
        <w:rPr>
          <w:color w:val="auto"/>
          <w:highlight w:val="none"/>
        </w:rPr>
      </w:pPr>
      <w:r>
        <w:rPr>
          <w:rFonts w:hint="eastAsia"/>
          <w:color w:val="auto"/>
          <w:highlight w:val="none"/>
        </w:rPr>
        <w:t>（五）无串通投标行为的承诺函</w:t>
      </w:r>
    </w:p>
    <w:p w14:paraId="78A8487E">
      <w:pPr>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一、</w:t>
      </w:r>
      <w:r>
        <w:rPr>
          <w:rFonts w:ascii="宋体" w:hAnsi="宋体" w:cs="宋体"/>
          <w:b/>
          <w:color w:val="auto"/>
          <w:kern w:val="0"/>
          <w:szCs w:val="21"/>
          <w:highlight w:val="none"/>
        </w:rPr>
        <w:t>有下列情形之一的，</w:t>
      </w:r>
      <w:r>
        <w:rPr>
          <w:rFonts w:hint="eastAsia" w:ascii="宋体" w:hAnsi="宋体" w:cs="宋体"/>
          <w:b/>
          <w:color w:val="auto"/>
          <w:kern w:val="0"/>
          <w:szCs w:val="21"/>
          <w:highlight w:val="none"/>
        </w:rPr>
        <w:t>属于恶意</w:t>
      </w:r>
      <w:r>
        <w:rPr>
          <w:rFonts w:ascii="宋体" w:hAnsi="宋体" w:cs="宋体"/>
          <w:b/>
          <w:color w:val="auto"/>
          <w:kern w:val="0"/>
          <w:szCs w:val="21"/>
          <w:highlight w:val="none"/>
        </w:rPr>
        <w:t>串通投标：</w:t>
      </w:r>
    </w:p>
    <w:p w14:paraId="6AF2113E">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（一）投标人直接或者间接从采购人或者采购代理机构处获得其他</w:t>
      </w:r>
      <w:r>
        <w:rPr>
          <w:rFonts w:ascii="宋体" w:hAnsi="宋体" w:cs="宋体"/>
          <w:color w:val="auto"/>
          <w:kern w:val="0"/>
          <w:szCs w:val="21"/>
          <w:highlight w:val="none"/>
        </w:rPr>
        <w:t>投标人</w:t>
      </w:r>
      <w:r>
        <w:rPr>
          <w:rFonts w:hint="eastAsia" w:ascii="宋体" w:hAnsi="宋体" w:cs="宋体"/>
          <w:color w:val="auto"/>
          <w:kern w:val="0"/>
          <w:szCs w:val="21"/>
          <w:highlight w:val="none"/>
        </w:rPr>
        <w:t>的相关情况并修改其投标文件或者响应文件；</w:t>
      </w:r>
    </w:p>
    <w:p w14:paraId="638C60F2">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（二）投标人按照采购人或者采购代理机构的授意撤换、修改投标文件或者响应文件；</w:t>
      </w:r>
    </w:p>
    <w:p w14:paraId="1B7013A2">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（三）投标人之间协商报价、技术方案等投标文件或者响应文件的实质性内容；</w:t>
      </w:r>
    </w:p>
    <w:p w14:paraId="35AE0106">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（四）属于同一集团、协会、商会等组织成员的</w:t>
      </w:r>
      <w:r>
        <w:rPr>
          <w:rFonts w:ascii="宋体" w:hAnsi="宋体" w:cs="宋体"/>
          <w:color w:val="auto"/>
          <w:kern w:val="0"/>
          <w:szCs w:val="21"/>
          <w:highlight w:val="none"/>
        </w:rPr>
        <w:t>投标人</w:t>
      </w:r>
      <w:r>
        <w:rPr>
          <w:rFonts w:hint="eastAsia" w:ascii="宋体" w:hAnsi="宋体" w:cs="宋体"/>
          <w:color w:val="auto"/>
          <w:kern w:val="0"/>
          <w:szCs w:val="21"/>
          <w:highlight w:val="none"/>
        </w:rPr>
        <w:t>按照该组织要求协同参加政府采购活动；</w:t>
      </w:r>
    </w:p>
    <w:p w14:paraId="6F6A0E7B">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（五）投标人之间事先约定由某一特定</w:t>
      </w:r>
      <w:r>
        <w:rPr>
          <w:rFonts w:ascii="宋体" w:hAnsi="宋体" w:cs="宋体"/>
          <w:color w:val="auto"/>
          <w:kern w:val="0"/>
          <w:szCs w:val="21"/>
          <w:highlight w:val="none"/>
        </w:rPr>
        <w:t>投标人</w:t>
      </w:r>
      <w:r>
        <w:rPr>
          <w:rFonts w:hint="eastAsia" w:ascii="宋体" w:hAnsi="宋体" w:cs="宋体"/>
          <w:color w:val="auto"/>
          <w:kern w:val="0"/>
          <w:szCs w:val="21"/>
          <w:highlight w:val="none"/>
        </w:rPr>
        <w:t>中标、成交；</w:t>
      </w:r>
    </w:p>
    <w:p w14:paraId="52BA7394">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（六）投标人之间商定部分</w:t>
      </w:r>
      <w:r>
        <w:rPr>
          <w:rFonts w:ascii="宋体" w:hAnsi="宋体" w:cs="宋体"/>
          <w:color w:val="auto"/>
          <w:kern w:val="0"/>
          <w:szCs w:val="21"/>
          <w:highlight w:val="none"/>
        </w:rPr>
        <w:t>投标人</w:t>
      </w:r>
      <w:r>
        <w:rPr>
          <w:rFonts w:hint="eastAsia" w:ascii="宋体" w:hAnsi="宋体" w:cs="宋体"/>
          <w:color w:val="auto"/>
          <w:kern w:val="0"/>
          <w:szCs w:val="21"/>
          <w:highlight w:val="none"/>
        </w:rPr>
        <w:t>放弃参加政府采购活动或者放弃中标、成交；</w:t>
      </w:r>
    </w:p>
    <w:p w14:paraId="55F0C803">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（七）投标人与采购人或者采购代理机构之间、供应商相互之间，为谋求特定供应商中标、成交或者排斥其他</w:t>
      </w:r>
      <w:r>
        <w:rPr>
          <w:rFonts w:ascii="宋体" w:hAnsi="宋体" w:cs="宋体"/>
          <w:color w:val="auto"/>
          <w:kern w:val="0"/>
          <w:szCs w:val="21"/>
          <w:highlight w:val="none"/>
        </w:rPr>
        <w:t>投标人</w:t>
      </w:r>
      <w:r>
        <w:rPr>
          <w:rFonts w:hint="eastAsia" w:ascii="宋体" w:hAnsi="宋体" w:cs="宋体"/>
          <w:color w:val="auto"/>
          <w:kern w:val="0"/>
          <w:szCs w:val="21"/>
          <w:highlight w:val="none"/>
        </w:rPr>
        <w:t>的其他串通行为。</w:t>
      </w:r>
    </w:p>
    <w:p w14:paraId="1135ED5D">
      <w:pPr>
        <w:spacing w:line="360" w:lineRule="auto"/>
        <w:rPr>
          <w:rFonts w:hint="eastAsia" w:ascii="宋体" w:hAnsi="宋体" w:cs="宋体"/>
          <w:color w:val="auto"/>
          <w:kern w:val="0"/>
          <w:szCs w:val="21"/>
          <w:highlight w:val="none"/>
        </w:rPr>
      </w:pPr>
      <w:r>
        <w:rPr>
          <w:rFonts w:hint="eastAsia" w:ascii="宋体" w:hAnsi="宋体" w:cs="宋体"/>
          <w:b/>
          <w:color w:val="auto"/>
          <w:kern w:val="0"/>
          <w:szCs w:val="21"/>
          <w:highlight w:val="none"/>
        </w:rPr>
        <w:t>二、</w:t>
      </w:r>
      <w:r>
        <w:rPr>
          <w:rFonts w:ascii="宋体" w:hAnsi="宋体" w:cs="宋体"/>
          <w:b/>
          <w:color w:val="auto"/>
          <w:kern w:val="0"/>
          <w:szCs w:val="21"/>
          <w:highlight w:val="none"/>
        </w:rPr>
        <w:t>有下列情形之一的，视为</w:t>
      </w:r>
      <w:r>
        <w:rPr>
          <w:rFonts w:hint="eastAsia" w:ascii="宋体" w:hAnsi="宋体" w:cs="宋体"/>
          <w:b/>
          <w:color w:val="auto"/>
          <w:kern w:val="0"/>
          <w:szCs w:val="21"/>
          <w:highlight w:val="none"/>
        </w:rPr>
        <w:t>供应商</w:t>
      </w:r>
      <w:r>
        <w:rPr>
          <w:rFonts w:ascii="宋体" w:hAnsi="宋体" w:cs="宋体"/>
          <w:b/>
          <w:color w:val="auto"/>
          <w:kern w:val="0"/>
          <w:szCs w:val="21"/>
          <w:highlight w:val="none"/>
        </w:rPr>
        <w:t>串通投标，其</w:t>
      </w:r>
      <w:r>
        <w:rPr>
          <w:rFonts w:hint="eastAsia" w:ascii="宋体" w:hAnsi="宋体" w:cs="宋体"/>
          <w:b/>
          <w:color w:val="auto"/>
          <w:kern w:val="0"/>
          <w:szCs w:val="21"/>
          <w:highlight w:val="none"/>
        </w:rPr>
        <w:t>投标</w:t>
      </w:r>
      <w:r>
        <w:rPr>
          <w:rFonts w:ascii="宋体" w:hAnsi="宋体" w:cs="宋体"/>
          <w:b/>
          <w:color w:val="auto"/>
          <w:kern w:val="0"/>
          <w:szCs w:val="21"/>
          <w:highlight w:val="none"/>
        </w:rPr>
        <w:t>无效：</w:t>
      </w:r>
    </w:p>
    <w:p w14:paraId="5CDFCD31">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（一）不同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文件由同一单位或者个人编制；</w:t>
      </w:r>
    </w:p>
    <w:p w14:paraId="10CFCACA">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（二）不同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委托同一单位或者个人办理投标事宜；</w:t>
      </w:r>
    </w:p>
    <w:p w14:paraId="0EA34FC6">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（三）不同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文件载明的项目管理成员或者联系人员为同一人；</w:t>
      </w:r>
    </w:p>
    <w:p w14:paraId="2A380EBC">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（四）不同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文件异常一致或者</w:t>
      </w:r>
      <w:r>
        <w:rPr>
          <w:rFonts w:hint="eastAsia" w:ascii="宋体" w:hAnsi="宋体" w:cs="宋体"/>
          <w:color w:val="auto"/>
          <w:kern w:val="0"/>
          <w:szCs w:val="21"/>
          <w:highlight w:val="none"/>
        </w:rPr>
        <w:t>投标</w:t>
      </w:r>
      <w:r>
        <w:rPr>
          <w:rFonts w:ascii="宋体" w:hAnsi="宋体" w:cs="宋体"/>
          <w:color w:val="auto"/>
          <w:kern w:val="0"/>
          <w:szCs w:val="21"/>
          <w:highlight w:val="none"/>
        </w:rPr>
        <w:t>报价呈规律性差异；</w:t>
      </w:r>
    </w:p>
    <w:p w14:paraId="439A17CA">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（五）不同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文件相互混装；</w:t>
      </w:r>
    </w:p>
    <w:p w14:paraId="098F83E4">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（六）不同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投标</w:t>
      </w:r>
      <w:r>
        <w:rPr>
          <w:rFonts w:ascii="宋体" w:hAnsi="宋体" w:cs="宋体"/>
          <w:color w:val="auto"/>
          <w:kern w:val="0"/>
          <w:szCs w:val="21"/>
          <w:highlight w:val="none"/>
        </w:rPr>
        <w:t>保证金从同一单位或者个人的账户转出。</w:t>
      </w:r>
    </w:p>
    <w:p w14:paraId="61C37DB2">
      <w:pPr>
        <w:spacing w:line="360" w:lineRule="auto"/>
        <w:rPr>
          <w:rFonts w:hint="eastAsia" w:ascii="宋体" w:hAnsi="宋体" w:cs="宋体"/>
          <w:color w:val="auto"/>
          <w:kern w:val="0"/>
          <w:szCs w:val="21"/>
          <w:highlight w:val="none"/>
        </w:rPr>
      </w:pPr>
    </w:p>
    <w:p w14:paraId="23B9F486">
      <w:pPr>
        <w:spacing w:line="360" w:lineRule="auto"/>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请投标人出具是否存在上述情形的承诺函。如出现上述情形的，依照政府采购法第七十七条第一款的规定追究法律责任。  </w:t>
      </w:r>
    </w:p>
    <w:p w14:paraId="2FE690DF">
      <w:pPr>
        <w:spacing w:line="360" w:lineRule="auto"/>
        <w:jc w:val="left"/>
        <w:rPr>
          <w:rFonts w:hint="eastAsia" w:ascii="宋体" w:hAnsi="宋体"/>
          <w:color w:val="auto"/>
          <w:sz w:val="24"/>
          <w:highlight w:val="none"/>
        </w:rPr>
      </w:pPr>
    </w:p>
    <w:p w14:paraId="3B508CD6">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1C37AEB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1F361BBD">
      <w:pPr>
        <w:spacing w:line="360" w:lineRule="auto"/>
        <w:rPr>
          <w:rFonts w:hint="eastAsia" w:ascii="宋体" w:hAnsi="宋体"/>
          <w:color w:val="auto"/>
          <w:sz w:val="24"/>
          <w:highlight w:val="none"/>
        </w:rPr>
      </w:pPr>
      <w:r>
        <w:rPr>
          <w:rFonts w:hint="eastAsia" w:ascii="宋体" w:hAnsi="宋体"/>
          <w:color w:val="auto"/>
          <w:sz w:val="24"/>
          <w:highlight w:val="none"/>
        </w:rPr>
        <w:t>日期：年月日</w:t>
      </w:r>
    </w:p>
    <w:p w14:paraId="79D2EE29">
      <w:pPr>
        <w:spacing w:line="360" w:lineRule="auto"/>
        <w:rPr>
          <w:rFonts w:hint="eastAsia" w:ascii="宋体" w:hAnsi="宋体"/>
          <w:color w:val="auto"/>
          <w:sz w:val="24"/>
          <w:highlight w:val="none"/>
        </w:rPr>
      </w:pPr>
    </w:p>
    <w:p w14:paraId="2C078632">
      <w:pPr>
        <w:widowControl/>
        <w:jc w:val="left"/>
        <w:rPr>
          <w:rFonts w:eastAsia="黑体"/>
          <w:b/>
          <w:color w:val="auto"/>
          <w:kern w:val="0"/>
          <w:sz w:val="28"/>
          <w:szCs w:val="20"/>
          <w:highlight w:val="none"/>
        </w:rPr>
      </w:pPr>
      <w:r>
        <w:rPr>
          <w:color w:val="auto"/>
          <w:highlight w:val="none"/>
        </w:rPr>
        <w:br w:type="page"/>
      </w:r>
    </w:p>
    <w:p w14:paraId="37B3E3D6">
      <w:pPr>
        <w:pStyle w:val="5"/>
        <w:rPr>
          <w:color w:val="auto"/>
          <w:highlight w:val="none"/>
        </w:rPr>
      </w:pPr>
      <w:r>
        <w:rPr>
          <w:rFonts w:hint="eastAsia"/>
          <w:color w:val="auto"/>
          <w:highlight w:val="none"/>
        </w:rPr>
        <w:t>（六）中小企业证明材料</w:t>
      </w:r>
    </w:p>
    <w:p w14:paraId="0B386103">
      <w:pPr>
        <w:pStyle w:val="6"/>
        <w:tabs>
          <w:tab w:val="left" w:pos="1021"/>
          <w:tab w:val="clear" w:pos="900"/>
          <w:tab w:val="clear" w:pos="1588"/>
        </w:tabs>
        <w:jc w:val="center"/>
        <w:rPr>
          <w:color w:val="auto"/>
          <w:highlight w:val="none"/>
        </w:rPr>
      </w:pPr>
      <w:r>
        <w:rPr>
          <w:rFonts w:hint="eastAsia"/>
          <w:color w:val="auto"/>
          <w:highlight w:val="none"/>
        </w:rPr>
        <w:t>6.1中小企业声明函（货物）</w:t>
      </w:r>
      <w:bookmarkEnd w:id="140"/>
      <w:bookmarkEnd w:id="141"/>
      <w:bookmarkEnd w:id="142"/>
    </w:p>
    <w:p w14:paraId="0CEE6285">
      <w:pPr>
        <w:spacing w:line="360" w:lineRule="auto"/>
        <w:ind w:right="422" w:rightChars="201" w:firstLine="504" w:firstLineChars="200"/>
        <w:rPr>
          <w:rFonts w:hint="eastAsia" w:ascii="宋体" w:hAnsi="宋体"/>
          <w:color w:val="auto"/>
          <w:spacing w:val="6"/>
          <w:sz w:val="24"/>
          <w:highlight w:val="none"/>
        </w:rPr>
      </w:pPr>
    </w:p>
    <w:p w14:paraId="30464529">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本公司（联合体）郑重声明，根据《政府采购促进中小企业发展管理办法》（财库﹝2020﹞46 号）的规定，本公司（联合体）参加</w:t>
      </w:r>
      <w:r>
        <w:rPr>
          <w:rFonts w:hint="eastAsia" w:ascii="宋体" w:hAnsi="宋体"/>
          <w:color w:val="auto"/>
          <w:kern w:val="0"/>
          <w:sz w:val="24"/>
          <w:highlight w:val="none"/>
          <w:u w:val="single"/>
        </w:rPr>
        <w:t xml:space="preserve"> （单位名称） </w:t>
      </w:r>
      <w:r>
        <w:rPr>
          <w:rFonts w:hint="eastAsia" w:ascii="宋体" w:hAnsi="宋体"/>
          <w:color w:val="auto"/>
          <w:kern w:val="0"/>
          <w:sz w:val="24"/>
          <w:highlight w:val="none"/>
        </w:rPr>
        <w:t>的</w:t>
      </w:r>
      <w:r>
        <w:rPr>
          <w:rFonts w:hint="eastAsia" w:ascii="宋体" w:hAnsi="宋体"/>
          <w:color w:val="auto"/>
          <w:kern w:val="0"/>
          <w:sz w:val="24"/>
          <w:highlight w:val="none"/>
          <w:u w:val="single"/>
          <w:lang w:eastAsia="zh-CN"/>
        </w:rPr>
        <w:t>怒江州中医医院心肺康复设备采购项目</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采购活动，提供的货物全部由符合政策要求的中小企业制造。相关企业（含联合体中的中小企业、签订分包意向协议的中小企业）的具体情况如下：</w:t>
      </w:r>
    </w:p>
    <w:p w14:paraId="12D7FC41">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 xml:space="preserve">1. </w:t>
      </w:r>
      <w:r>
        <w:rPr>
          <w:rFonts w:hint="eastAsia" w:ascii="宋体" w:hAnsi="宋体"/>
          <w:color w:val="auto"/>
          <w:kern w:val="0"/>
          <w:sz w:val="24"/>
          <w:highlight w:val="none"/>
          <w:u w:val="single"/>
        </w:rPr>
        <w:t xml:space="preserve">（标的名称） </w:t>
      </w:r>
      <w:r>
        <w:rPr>
          <w:rFonts w:hint="eastAsia" w:ascii="宋体" w:hAnsi="宋体"/>
          <w:color w:val="auto"/>
          <w:kern w:val="0"/>
          <w:sz w:val="24"/>
          <w:highlight w:val="none"/>
        </w:rPr>
        <w:t>，属于</w:t>
      </w:r>
      <w:r>
        <w:rPr>
          <w:rFonts w:hint="eastAsia" w:ascii="宋体" w:hAnsi="宋体"/>
          <w:color w:val="auto"/>
          <w:kern w:val="0"/>
          <w:sz w:val="24"/>
          <w:highlight w:val="none"/>
          <w:u w:val="single"/>
        </w:rPr>
        <w:t xml:space="preserve"> （采购文件中明确的所属行业）</w:t>
      </w:r>
      <w:r>
        <w:rPr>
          <w:rFonts w:hint="eastAsia" w:ascii="宋体" w:hAnsi="宋体"/>
          <w:color w:val="auto"/>
          <w:kern w:val="0"/>
          <w:sz w:val="24"/>
          <w:highlight w:val="none"/>
        </w:rPr>
        <w:t>行业 ；制造商为</w:t>
      </w:r>
      <w:r>
        <w:rPr>
          <w:rFonts w:hint="eastAsia" w:ascii="宋体" w:hAnsi="宋体"/>
          <w:color w:val="auto"/>
          <w:kern w:val="0"/>
          <w:sz w:val="24"/>
          <w:highlight w:val="none"/>
          <w:u w:val="single"/>
        </w:rPr>
        <w:t xml:space="preserve"> （企业名称） </w:t>
      </w:r>
      <w:r>
        <w:rPr>
          <w:rFonts w:hint="eastAsia" w:ascii="宋体" w:hAnsi="宋体"/>
          <w:color w:val="auto"/>
          <w:kern w:val="0"/>
          <w:sz w:val="24"/>
          <w:highlight w:val="none"/>
        </w:rPr>
        <w:t>，从业人员</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人，营业收入为</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万元，资产总额为</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万元，属于</w:t>
      </w:r>
      <w:r>
        <w:rPr>
          <w:rFonts w:hint="eastAsia" w:ascii="宋体" w:hAnsi="宋体"/>
          <w:color w:val="auto"/>
          <w:kern w:val="0"/>
          <w:sz w:val="24"/>
          <w:highlight w:val="none"/>
          <w:u w:val="single"/>
        </w:rPr>
        <w:t xml:space="preserve"> （中型企业、小型企业、微型企业） </w:t>
      </w:r>
      <w:r>
        <w:rPr>
          <w:rFonts w:hint="eastAsia" w:ascii="宋体" w:hAnsi="宋体"/>
          <w:color w:val="auto"/>
          <w:kern w:val="0"/>
          <w:sz w:val="24"/>
          <w:highlight w:val="none"/>
        </w:rPr>
        <w:t>；</w:t>
      </w:r>
    </w:p>
    <w:p w14:paraId="02F51299">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u w:val="single"/>
        </w:rPr>
        <w:t xml:space="preserve"> （标的名称） </w:t>
      </w:r>
      <w:r>
        <w:rPr>
          <w:rFonts w:hint="eastAsia" w:ascii="宋体" w:hAnsi="宋体"/>
          <w:color w:val="auto"/>
          <w:kern w:val="0"/>
          <w:sz w:val="24"/>
          <w:highlight w:val="none"/>
        </w:rPr>
        <w:t>，属于</w:t>
      </w:r>
      <w:r>
        <w:rPr>
          <w:rFonts w:hint="eastAsia" w:ascii="宋体" w:hAnsi="宋体"/>
          <w:color w:val="auto"/>
          <w:kern w:val="0"/>
          <w:sz w:val="24"/>
          <w:highlight w:val="none"/>
          <w:u w:val="single"/>
        </w:rPr>
        <w:t xml:space="preserve"> （采购文件中明确的所属行业）</w:t>
      </w:r>
      <w:r>
        <w:rPr>
          <w:rFonts w:hint="eastAsia" w:ascii="宋体" w:hAnsi="宋体"/>
          <w:color w:val="auto"/>
          <w:kern w:val="0"/>
          <w:sz w:val="24"/>
          <w:highlight w:val="none"/>
        </w:rPr>
        <w:t>行业 ；制造商为</w:t>
      </w:r>
      <w:r>
        <w:rPr>
          <w:rFonts w:hint="eastAsia" w:ascii="宋体" w:hAnsi="宋体"/>
          <w:color w:val="auto"/>
          <w:kern w:val="0"/>
          <w:sz w:val="24"/>
          <w:highlight w:val="none"/>
          <w:u w:val="single"/>
        </w:rPr>
        <w:t xml:space="preserve"> （企业名称） </w:t>
      </w:r>
      <w:r>
        <w:rPr>
          <w:rFonts w:hint="eastAsia" w:ascii="宋体" w:hAnsi="宋体"/>
          <w:color w:val="auto"/>
          <w:kern w:val="0"/>
          <w:sz w:val="24"/>
          <w:highlight w:val="none"/>
        </w:rPr>
        <w:t>，从业人员</w:t>
      </w:r>
      <w:r>
        <w:rPr>
          <w:rFonts w:ascii="宋体" w:hAnsi="宋体"/>
          <w:color w:val="auto"/>
          <w:kern w:val="0"/>
          <w:sz w:val="24"/>
          <w:highlight w:val="none"/>
          <w:u w:val="single"/>
        </w:rPr>
        <w:t xml:space="preserve">     </w:t>
      </w:r>
      <w:r>
        <w:rPr>
          <w:rFonts w:hint="eastAsia" w:ascii="宋体" w:hAnsi="宋体"/>
          <w:color w:val="auto"/>
          <w:kern w:val="0"/>
          <w:sz w:val="24"/>
          <w:highlight w:val="none"/>
        </w:rPr>
        <w:t>人，营业收入为</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万元，资产总额为</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万元，属于</w:t>
      </w:r>
      <w:r>
        <w:rPr>
          <w:rFonts w:hint="eastAsia" w:ascii="宋体" w:hAnsi="宋体"/>
          <w:color w:val="auto"/>
          <w:kern w:val="0"/>
          <w:sz w:val="24"/>
          <w:highlight w:val="none"/>
          <w:u w:val="single"/>
        </w:rPr>
        <w:t xml:space="preserve"> （中型企业、小型企业、微型企业） </w:t>
      </w:r>
      <w:r>
        <w:rPr>
          <w:rFonts w:hint="eastAsia" w:ascii="宋体" w:hAnsi="宋体"/>
          <w:color w:val="auto"/>
          <w:kern w:val="0"/>
          <w:sz w:val="24"/>
          <w:highlight w:val="none"/>
        </w:rPr>
        <w:t>；</w:t>
      </w:r>
    </w:p>
    <w:p w14:paraId="0ED727EA">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w:t>
      </w:r>
    </w:p>
    <w:p w14:paraId="6F22F58D">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以上企业，不属于大企业的分支机构，不存在控股股东为大企业的情形，也不存在与大企业的负责人为同一人的情形。</w:t>
      </w:r>
    </w:p>
    <w:p w14:paraId="2B33263F">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本企业对上述声明内容的真实性负责。如有虚假，将依法承担相应责任。</w:t>
      </w:r>
    </w:p>
    <w:p w14:paraId="644F1AD2">
      <w:pPr>
        <w:spacing w:line="360" w:lineRule="auto"/>
        <w:jc w:val="right"/>
        <w:rPr>
          <w:rFonts w:hint="eastAsia" w:ascii="宋体" w:hAnsi="宋体"/>
          <w:color w:val="auto"/>
          <w:spacing w:val="6"/>
          <w:sz w:val="24"/>
          <w:highlight w:val="none"/>
        </w:rPr>
      </w:pPr>
    </w:p>
    <w:p w14:paraId="49C4E59F">
      <w:pPr>
        <w:spacing w:line="360" w:lineRule="auto"/>
        <w:jc w:val="right"/>
        <w:rPr>
          <w:rFonts w:hint="eastAsia" w:ascii="宋体" w:hAnsi="宋体"/>
          <w:color w:val="auto"/>
          <w:spacing w:val="6"/>
          <w:sz w:val="24"/>
          <w:highlight w:val="none"/>
        </w:rPr>
      </w:pPr>
      <w:r>
        <w:rPr>
          <w:rFonts w:hint="eastAsia" w:ascii="宋体" w:hAnsi="宋体"/>
          <w:color w:val="auto"/>
          <w:spacing w:val="6"/>
          <w:sz w:val="24"/>
          <w:highlight w:val="none"/>
        </w:rPr>
        <w:t>企业名称（电子签章）：</w:t>
      </w:r>
    </w:p>
    <w:p w14:paraId="21A9DDDB">
      <w:pPr>
        <w:autoSpaceDE w:val="0"/>
        <w:autoSpaceDN w:val="0"/>
        <w:adjustRightInd w:val="0"/>
        <w:ind w:right="504"/>
        <w:jc w:val="right"/>
        <w:rPr>
          <w:rFonts w:hint="eastAsia" w:ascii="宋体" w:hAnsi="宋体" w:cs="Malgun Gothic Semilight"/>
          <w:color w:val="auto"/>
          <w:kern w:val="0"/>
          <w:sz w:val="32"/>
          <w:szCs w:val="32"/>
          <w:highlight w:val="none"/>
        </w:rPr>
      </w:pPr>
      <w:r>
        <w:rPr>
          <w:rFonts w:hint="eastAsia" w:ascii="宋体" w:hAnsi="宋体"/>
          <w:color w:val="auto"/>
          <w:spacing w:val="6"/>
          <w:sz w:val="24"/>
          <w:highlight w:val="none"/>
        </w:rPr>
        <w:t>日 期</w:t>
      </w:r>
    </w:p>
    <w:p w14:paraId="0CB0CCEA">
      <w:pPr>
        <w:autoSpaceDE w:val="0"/>
        <w:autoSpaceDN w:val="0"/>
        <w:adjustRightInd w:val="0"/>
        <w:ind w:left="-141" w:leftChars="-67"/>
        <w:jc w:val="left"/>
        <w:rPr>
          <w:rFonts w:hint="eastAsia" w:ascii="宋体" w:hAnsi="宋体" w:cs="Malgun Gothic Semilight"/>
          <w:color w:val="auto"/>
          <w:kern w:val="0"/>
          <w:sz w:val="32"/>
          <w:szCs w:val="32"/>
          <w:highlight w:val="none"/>
        </w:rPr>
      </w:pPr>
    </w:p>
    <w:p w14:paraId="75B1E2E1">
      <w:pPr>
        <w:pStyle w:val="2"/>
        <w:spacing w:line="360" w:lineRule="auto"/>
        <w:rPr>
          <w:rFonts w:hint="eastAsia" w:hAnsi="宋体"/>
          <w:b/>
          <w:color w:val="auto"/>
          <w:sz w:val="24"/>
          <w:highlight w:val="none"/>
        </w:rPr>
      </w:pPr>
      <w:r>
        <w:rPr>
          <w:rFonts w:hint="eastAsia" w:ascii="宋体" w:hAnsi="宋体"/>
          <w:color w:val="auto"/>
          <w:kern w:val="0"/>
          <w:sz w:val="24"/>
          <w:highlight w:val="none"/>
        </w:rPr>
        <w:t>从业人员、营业收入、资产总额填报上一年度数据，无上一年度数据的新成立企业可不填报。</w:t>
      </w:r>
    </w:p>
    <w:p w14:paraId="4459C295">
      <w:pPr>
        <w:widowControl/>
        <w:jc w:val="left"/>
        <w:rPr>
          <w:rFonts w:hint="eastAsia" w:ascii="宋体" w:hAnsi="宋体" w:cs="Malgun Gothic Semilight"/>
          <w:color w:val="auto"/>
          <w:kern w:val="0"/>
          <w:sz w:val="32"/>
          <w:szCs w:val="32"/>
          <w:highlight w:val="none"/>
        </w:rPr>
      </w:pPr>
      <w:r>
        <w:rPr>
          <w:rFonts w:ascii="宋体" w:hAnsi="宋体" w:cs="Malgun Gothic Semilight"/>
          <w:color w:val="auto"/>
          <w:kern w:val="0"/>
          <w:sz w:val="32"/>
          <w:szCs w:val="32"/>
          <w:highlight w:val="none"/>
        </w:rPr>
        <w:br w:type="page"/>
      </w:r>
    </w:p>
    <w:p w14:paraId="428A96E2">
      <w:pPr>
        <w:pStyle w:val="2"/>
        <w:spacing w:line="360" w:lineRule="auto"/>
        <w:ind w:firstLine="482"/>
        <w:rPr>
          <w:rFonts w:hint="eastAsia" w:hAnsi="宋体"/>
          <w:bCs/>
          <w:color w:val="auto"/>
          <w:sz w:val="24"/>
          <w:highlight w:val="none"/>
        </w:rPr>
      </w:pPr>
      <w:r>
        <w:rPr>
          <w:rFonts w:hint="eastAsia" w:hAnsi="宋体"/>
          <w:bCs/>
          <w:color w:val="auto"/>
          <w:sz w:val="24"/>
          <w:highlight w:val="none"/>
        </w:rPr>
        <w:t>注：</w:t>
      </w:r>
    </w:p>
    <w:p w14:paraId="59CB4440">
      <w:pPr>
        <w:spacing w:line="360" w:lineRule="auto"/>
        <w:ind w:firstLine="480" w:firstLineChars="200"/>
        <w:rPr>
          <w:rFonts w:hint="eastAsia" w:ascii="宋体" w:hAnsi="宋体"/>
          <w:bCs/>
          <w:color w:val="auto"/>
          <w:sz w:val="24"/>
          <w:highlight w:val="none"/>
        </w:rPr>
      </w:pPr>
      <w:r>
        <w:rPr>
          <w:rFonts w:hint="eastAsia" w:ascii="宋体" w:hAnsi="宋体"/>
          <w:bCs/>
          <w:color w:val="auto"/>
          <w:sz w:val="24"/>
          <w:highlight w:val="none"/>
        </w:rPr>
        <w:t>上表中从业人员、营业收入、资产总额填报上一年度数据，无上一年度数据的新成立企业可不填报。</w:t>
      </w:r>
    </w:p>
    <w:p w14:paraId="66063785">
      <w:pPr>
        <w:spacing w:line="360" w:lineRule="auto"/>
        <w:ind w:firstLine="480" w:firstLineChars="200"/>
        <w:rPr>
          <w:rFonts w:hint="eastAsia" w:ascii="宋体" w:hAnsi="宋体"/>
          <w:bCs/>
          <w:color w:val="auto"/>
          <w:sz w:val="24"/>
          <w:highlight w:val="none"/>
        </w:rPr>
      </w:pPr>
      <w:r>
        <w:rPr>
          <w:rFonts w:hint="eastAsia" w:ascii="宋体" w:hAnsi="宋体"/>
          <w:bCs/>
          <w:color w:val="auto"/>
          <w:sz w:val="24"/>
          <w:highlight w:val="none"/>
        </w:rPr>
        <w:t>1</w:t>
      </w:r>
      <w:r>
        <w:rPr>
          <w:rFonts w:ascii="宋体" w:hAnsi="宋体"/>
          <w:bCs/>
          <w:color w:val="auto"/>
          <w:sz w:val="24"/>
          <w:highlight w:val="none"/>
        </w:rPr>
        <w:t>.</w:t>
      </w:r>
      <w:r>
        <w:rPr>
          <w:rFonts w:hint="eastAsia" w:ascii="宋体" w:hAnsi="宋体"/>
          <w:bCs/>
          <w:color w:val="auto"/>
          <w:sz w:val="24"/>
          <w:highlight w:val="none"/>
        </w:rPr>
        <w:t>在货物采购项目中，货物由中小企业制造，即货物由中小企业生产且使用该中小企业商号或者注册商标，供应商提供的货物既有中小企业制造货物，也有大型企业制造货物的，不享受本办法规定的中小企业扶持政策。</w:t>
      </w:r>
    </w:p>
    <w:p w14:paraId="178CD537">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10DC680A">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3.</w:t>
      </w:r>
      <w:r>
        <w:rPr>
          <w:rFonts w:hint="eastAsia" w:ascii="宋体" w:hAnsi="宋体"/>
          <w:bCs/>
          <w:color w:val="auto"/>
          <w:sz w:val="24"/>
          <w:highlight w:val="none"/>
        </w:rPr>
        <w:t>投标人须核对《关于印发中小企业划型标准规定的通知》（工信部联企业〔2011〕300号）规定的中小企业划型标准，如实填写声明函。所声明的从业人员人数或营业收入金额不符合中小企业划型标准规定或未按招标文件明确的所属行业填写的，评标委员会将不予进行价格扣除。根据政府采购主管部门关于政府采购信息公示的相关要求，中标人享受本办法（财库〔2020〕46号）规定的中小企业扶持政策的，其投标文件中所提供的中小企业声明函需在云南省政府采购网随中标结果一并公示，请各投标单位如实提供及填写本单位企业情况。</w:t>
      </w:r>
    </w:p>
    <w:p w14:paraId="728FFEED">
      <w:pPr>
        <w:spacing w:line="360" w:lineRule="auto"/>
        <w:ind w:firstLine="482" w:firstLineChars="200"/>
        <w:rPr>
          <w:rFonts w:hint="eastAsia" w:ascii="宋体" w:hAnsi="宋体"/>
          <w:b/>
          <w:color w:val="auto"/>
          <w:sz w:val="24"/>
          <w:highlight w:val="none"/>
        </w:rPr>
      </w:pPr>
      <w:r>
        <w:rPr>
          <w:rFonts w:ascii="宋体" w:hAnsi="宋体"/>
          <w:b/>
          <w:color w:val="auto"/>
          <w:sz w:val="24"/>
          <w:highlight w:val="none"/>
        </w:rPr>
        <w:t>4.</w:t>
      </w:r>
      <w:r>
        <w:rPr>
          <w:rFonts w:hint="eastAsia" w:ascii="宋体" w:hAnsi="宋体"/>
          <w:b/>
          <w:color w:val="auto"/>
          <w:sz w:val="24"/>
          <w:highlight w:val="none"/>
        </w:rPr>
        <w:t>本项目属于《关于印发中小企业划型标准规定的通知》（工信部联企业〔2011〕300号）规定中的“（二）工业”。</w:t>
      </w:r>
    </w:p>
    <w:p w14:paraId="1933CC40">
      <w:pPr>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t>5.</w:t>
      </w:r>
      <w:r>
        <w:rPr>
          <w:rFonts w:hint="eastAsia"/>
          <w:b/>
          <w:color w:val="auto"/>
          <w:highlight w:val="none"/>
        </w:rPr>
        <w:t xml:space="preserve"> </w:t>
      </w:r>
      <w:r>
        <w:rPr>
          <w:rFonts w:hint="eastAsia" w:ascii="宋体" w:hAnsi="宋体"/>
          <w:b/>
          <w:color w:val="auto"/>
          <w:sz w:val="24"/>
          <w:highlight w:val="none"/>
        </w:rPr>
        <w:t>若采购项目包含多个标的物的，须按招标文件第五章“项目需求及技术要求”中采购货物逐项将货物制造商的相关信息全部列入《中小企业声明函》，并由投标人出具，加盖投标人电子公章。</w:t>
      </w:r>
    </w:p>
    <w:p w14:paraId="732F7A5B">
      <w:pPr>
        <w:spacing w:line="360" w:lineRule="auto"/>
        <w:ind w:firstLine="480" w:firstLineChars="200"/>
        <w:rPr>
          <w:rFonts w:hint="eastAsia" w:ascii="宋体" w:hAnsi="宋体"/>
          <w:color w:val="auto"/>
          <w:kern w:val="0"/>
          <w:sz w:val="24"/>
          <w:highlight w:val="none"/>
        </w:rPr>
      </w:pPr>
      <w:r>
        <w:rPr>
          <w:rFonts w:hAnsi="宋体"/>
          <w:color w:val="auto"/>
          <w:sz w:val="24"/>
          <w:highlight w:val="none"/>
        </w:rPr>
        <w:br w:type="page"/>
      </w:r>
      <w:r>
        <w:rPr>
          <w:rFonts w:ascii="宋体" w:hAnsi="宋体"/>
          <w:color w:val="auto"/>
          <w:szCs w:val="21"/>
          <w:highlight w:val="none"/>
        </w:rPr>
        <w:t>附件</w:t>
      </w:r>
      <w:r>
        <w:rPr>
          <w:rFonts w:hint="eastAsia" w:ascii="宋体" w:hAnsi="宋体"/>
          <w:color w:val="auto"/>
          <w:szCs w:val="21"/>
          <w:highlight w:val="none"/>
        </w:rPr>
        <w:t>：</w:t>
      </w:r>
    </w:p>
    <w:p w14:paraId="7F75DD5B">
      <w:pPr>
        <w:pStyle w:val="2"/>
        <w:spacing w:line="360" w:lineRule="auto"/>
        <w:rPr>
          <w:rFonts w:hint="eastAsia" w:ascii="宋体" w:hAnsi="宋体"/>
          <w:bCs/>
          <w:color w:val="auto"/>
          <w:szCs w:val="21"/>
          <w:highlight w:val="none"/>
        </w:rPr>
      </w:pPr>
      <w:r>
        <w:rPr>
          <w:rFonts w:hint="eastAsia" w:ascii="宋体" w:hAnsi="宋体"/>
          <w:bCs/>
          <w:color w:val="auto"/>
          <w:szCs w:val="21"/>
          <w:highlight w:val="none"/>
        </w:rPr>
        <w:t>《关于印发中小企业划型标准规定的通知》（</w:t>
      </w:r>
      <w:r>
        <w:rPr>
          <w:rFonts w:hint="eastAsia" w:ascii="宋体" w:hAnsi="宋体"/>
          <w:color w:val="auto"/>
          <w:szCs w:val="21"/>
          <w:highlight w:val="none"/>
        </w:rPr>
        <w:t>工信部联企业〔2011〕300号</w:t>
      </w:r>
      <w:r>
        <w:rPr>
          <w:rFonts w:hint="eastAsia" w:ascii="宋体" w:hAnsi="宋体"/>
          <w:bCs/>
          <w:color w:val="auto"/>
          <w:szCs w:val="21"/>
          <w:highlight w:val="none"/>
        </w:rPr>
        <w:t>）中小企业划型标准规定节选：</w:t>
      </w:r>
    </w:p>
    <w:p w14:paraId="67B9E644">
      <w:pPr>
        <w:pStyle w:val="2"/>
        <w:spacing w:line="360" w:lineRule="auto"/>
        <w:rPr>
          <w:rFonts w:hint="eastAsia" w:hAnsi="宋体"/>
          <w:color w:val="auto"/>
          <w:szCs w:val="21"/>
          <w:highlight w:val="none"/>
        </w:rPr>
      </w:pPr>
      <w:r>
        <w:rPr>
          <w:rFonts w:hint="eastAsia" w:hAnsi="宋体"/>
          <w:color w:val="auto"/>
          <w:szCs w:val="21"/>
          <w:highlight w:val="none"/>
        </w:rPr>
        <w:t>四、各行业划型标准为：</w:t>
      </w:r>
    </w:p>
    <w:p w14:paraId="61C3A26E">
      <w:pPr>
        <w:pStyle w:val="2"/>
        <w:spacing w:line="360" w:lineRule="auto"/>
        <w:rPr>
          <w:rFonts w:hint="eastAsia" w:hAnsi="宋体"/>
          <w:color w:val="auto"/>
          <w:szCs w:val="21"/>
          <w:highlight w:val="none"/>
        </w:rPr>
      </w:pPr>
      <w:r>
        <w:rPr>
          <w:rFonts w:hint="eastAsia" w:hAnsi="宋体"/>
          <w:color w:val="auto"/>
          <w:szCs w:val="21"/>
          <w:highlight w:val="none"/>
        </w:rPr>
        <w:t>（一）农、林、牧、渔业。营业收入20000万元以下的为中小微型企业。其中，营业收入500万元及以上的为中型企业，营业收入50万元及以上的为小型企业，营业收入50万元以下的为微型企业。</w:t>
      </w:r>
    </w:p>
    <w:p w14:paraId="293B4D19">
      <w:pPr>
        <w:pStyle w:val="2"/>
        <w:spacing w:line="360" w:lineRule="auto"/>
        <w:rPr>
          <w:rFonts w:hint="eastAsia" w:hAnsi="宋体"/>
          <w:b/>
          <w:color w:val="auto"/>
          <w:szCs w:val="21"/>
          <w:highlight w:val="none"/>
        </w:rPr>
      </w:pPr>
      <w:r>
        <w:rPr>
          <w:rFonts w:hint="eastAsia" w:hAnsi="宋体"/>
          <w:b/>
          <w:color w:val="auto"/>
          <w:szCs w:val="21"/>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3098A94">
      <w:pPr>
        <w:pStyle w:val="2"/>
        <w:spacing w:line="360" w:lineRule="auto"/>
        <w:rPr>
          <w:rFonts w:hint="eastAsia" w:hAnsi="宋体"/>
          <w:color w:val="auto"/>
          <w:szCs w:val="21"/>
          <w:highlight w:val="none"/>
        </w:rPr>
      </w:pPr>
      <w:r>
        <w:rPr>
          <w:rFonts w:hint="eastAsia" w:hAnsi="宋体"/>
          <w:color w:val="auto"/>
          <w:szCs w:val="21"/>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0162916">
      <w:pPr>
        <w:pStyle w:val="2"/>
        <w:spacing w:line="360" w:lineRule="auto"/>
        <w:rPr>
          <w:rFonts w:hint="eastAsia" w:hAnsi="宋体"/>
          <w:color w:val="auto"/>
          <w:szCs w:val="21"/>
          <w:highlight w:val="none"/>
        </w:rPr>
      </w:pPr>
      <w:r>
        <w:rPr>
          <w:rFonts w:hint="eastAsia" w:hAnsi="宋体"/>
          <w:color w:val="auto"/>
          <w:szCs w:val="21"/>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D32D1E2">
      <w:pPr>
        <w:pStyle w:val="2"/>
        <w:spacing w:line="360" w:lineRule="auto"/>
        <w:rPr>
          <w:rFonts w:hint="eastAsia" w:hAnsi="宋体"/>
          <w:color w:val="auto"/>
          <w:szCs w:val="21"/>
          <w:highlight w:val="none"/>
        </w:rPr>
      </w:pPr>
      <w:r>
        <w:rPr>
          <w:rFonts w:hint="eastAsia" w:hAnsi="宋体"/>
          <w:color w:val="auto"/>
          <w:szCs w:val="21"/>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1AAC157">
      <w:pPr>
        <w:pStyle w:val="2"/>
        <w:spacing w:line="360" w:lineRule="auto"/>
        <w:rPr>
          <w:rFonts w:hint="eastAsia" w:hAnsi="宋体"/>
          <w:color w:val="auto"/>
          <w:szCs w:val="21"/>
          <w:highlight w:val="none"/>
        </w:rPr>
      </w:pPr>
      <w:r>
        <w:rPr>
          <w:rFonts w:hint="eastAsia" w:hAnsi="宋体"/>
          <w:color w:val="auto"/>
          <w:szCs w:val="21"/>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EC7FFFF">
      <w:pPr>
        <w:pStyle w:val="2"/>
        <w:spacing w:line="360" w:lineRule="auto"/>
        <w:rPr>
          <w:rFonts w:hint="eastAsia" w:hAnsi="宋体"/>
          <w:color w:val="auto"/>
          <w:szCs w:val="21"/>
          <w:highlight w:val="none"/>
        </w:rPr>
      </w:pPr>
      <w:r>
        <w:rPr>
          <w:rFonts w:hint="eastAsia" w:hAnsi="宋体"/>
          <w:color w:val="auto"/>
          <w:szCs w:val="21"/>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9B4A7DC">
      <w:pPr>
        <w:pStyle w:val="2"/>
        <w:spacing w:line="360" w:lineRule="auto"/>
        <w:rPr>
          <w:rFonts w:hint="eastAsia" w:hAnsi="宋体"/>
          <w:color w:val="auto"/>
          <w:szCs w:val="21"/>
          <w:highlight w:val="none"/>
        </w:rPr>
      </w:pPr>
      <w:r>
        <w:rPr>
          <w:rFonts w:hint="eastAsia" w:hAnsi="宋体"/>
          <w:color w:val="auto"/>
          <w:szCs w:val="21"/>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298950A">
      <w:pPr>
        <w:pStyle w:val="2"/>
        <w:spacing w:line="360" w:lineRule="auto"/>
        <w:rPr>
          <w:rFonts w:hint="eastAsia" w:hAnsi="宋体"/>
          <w:color w:val="auto"/>
          <w:szCs w:val="21"/>
          <w:highlight w:val="none"/>
        </w:rPr>
      </w:pPr>
      <w:r>
        <w:rPr>
          <w:rFonts w:hint="eastAsia" w:hAnsi="宋体"/>
          <w:color w:val="auto"/>
          <w:szCs w:val="21"/>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29A6CAF">
      <w:pPr>
        <w:pStyle w:val="2"/>
        <w:spacing w:line="360" w:lineRule="auto"/>
        <w:rPr>
          <w:rFonts w:hint="eastAsia" w:hAnsi="宋体"/>
          <w:color w:val="auto"/>
          <w:szCs w:val="21"/>
          <w:highlight w:val="none"/>
        </w:rPr>
      </w:pPr>
      <w:r>
        <w:rPr>
          <w:rFonts w:hint="eastAsia" w:hAnsi="宋体"/>
          <w:color w:val="auto"/>
          <w:szCs w:val="21"/>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9485D6E">
      <w:pPr>
        <w:pStyle w:val="2"/>
        <w:spacing w:line="360" w:lineRule="auto"/>
        <w:rPr>
          <w:rFonts w:hint="eastAsia" w:hAnsi="宋体"/>
          <w:color w:val="auto"/>
          <w:szCs w:val="21"/>
          <w:highlight w:val="none"/>
        </w:rPr>
      </w:pPr>
      <w:r>
        <w:rPr>
          <w:rFonts w:hint="eastAsia" w:hAnsi="宋体"/>
          <w:color w:val="auto"/>
          <w:szCs w:val="21"/>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834EEFF">
      <w:pPr>
        <w:pStyle w:val="2"/>
        <w:spacing w:line="360" w:lineRule="auto"/>
        <w:rPr>
          <w:rFonts w:hint="eastAsia" w:hAnsi="宋体"/>
          <w:color w:val="auto"/>
          <w:szCs w:val="21"/>
          <w:highlight w:val="none"/>
        </w:rPr>
      </w:pPr>
      <w:r>
        <w:rPr>
          <w:rFonts w:hint="eastAsia" w:hAnsi="宋体"/>
          <w:color w:val="auto"/>
          <w:szCs w:val="21"/>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1C182A7">
      <w:pPr>
        <w:pStyle w:val="2"/>
        <w:spacing w:line="360" w:lineRule="auto"/>
        <w:rPr>
          <w:rFonts w:hint="eastAsia" w:hAnsi="宋体"/>
          <w:color w:val="auto"/>
          <w:szCs w:val="21"/>
          <w:highlight w:val="none"/>
        </w:rPr>
      </w:pPr>
      <w:r>
        <w:rPr>
          <w:rFonts w:hint="eastAsia" w:hAnsi="宋体"/>
          <w:color w:val="auto"/>
          <w:szCs w:val="21"/>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7BE2E96">
      <w:pPr>
        <w:pStyle w:val="2"/>
        <w:spacing w:line="360" w:lineRule="auto"/>
        <w:rPr>
          <w:rFonts w:hint="eastAsia" w:hAnsi="宋体"/>
          <w:color w:val="auto"/>
          <w:szCs w:val="21"/>
          <w:highlight w:val="none"/>
        </w:rPr>
      </w:pPr>
      <w:r>
        <w:rPr>
          <w:rFonts w:hint="eastAsia" w:hAnsi="宋体"/>
          <w:color w:val="auto"/>
          <w:szCs w:val="21"/>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60E1C3D">
      <w:pPr>
        <w:pStyle w:val="2"/>
        <w:spacing w:line="360" w:lineRule="auto"/>
        <w:rPr>
          <w:rFonts w:hint="eastAsia" w:hAnsi="宋体"/>
          <w:color w:val="auto"/>
          <w:szCs w:val="21"/>
          <w:highlight w:val="none"/>
        </w:rPr>
      </w:pPr>
      <w:r>
        <w:rPr>
          <w:rFonts w:hint="eastAsia" w:hAnsi="宋体"/>
          <w:color w:val="auto"/>
          <w:szCs w:val="21"/>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65E31A4">
      <w:pPr>
        <w:pStyle w:val="2"/>
        <w:spacing w:line="360" w:lineRule="auto"/>
        <w:rPr>
          <w:rFonts w:hint="eastAsia" w:ascii="宋体" w:hAnsi="宋体"/>
          <w:b/>
          <w:color w:val="auto"/>
          <w:kern w:val="0"/>
          <w:sz w:val="24"/>
          <w:highlight w:val="none"/>
        </w:rPr>
        <w:sectPr>
          <w:headerReference r:id="rId11" w:type="first"/>
          <w:pgSz w:w="11906" w:h="16838"/>
          <w:pgMar w:top="1134" w:right="851" w:bottom="1304" w:left="1276" w:header="720" w:footer="720" w:gutter="0"/>
          <w:cols w:space="720" w:num="1"/>
          <w:docGrid w:linePitch="331" w:charSpace="0"/>
        </w:sectPr>
      </w:pPr>
      <w:r>
        <w:rPr>
          <w:rFonts w:hint="eastAsia" w:hAnsi="宋体"/>
          <w:color w:val="auto"/>
          <w:szCs w:val="21"/>
          <w:highlight w:val="none"/>
        </w:rPr>
        <w:t>（十六）其他未列明行业。从业人员300人以下的为中小微型企业。其中，从业人员100人及以上的为中型企业；从业人员10人及以上的为小型企业；从业人员10人以下的为微型企业</w:t>
      </w:r>
    </w:p>
    <w:p w14:paraId="76A3467A">
      <w:pPr>
        <w:pStyle w:val="6"/>
        <w:tabs>
          <w:tab w:val="left" w:pos="1021"/>
          <w:tab w:val="clear" w:pos="900"/>
          <w:tab w:val="clear" w:pos="1588"/>
        </w:tabs>
        <w:jc w:val="center"/>
        <w:rPr>
          <w:color w:val="auto"/>
          <w:highlight w:val="none"/>
        </w:rPr>
      </w:pPr>
      <w:bookmarkStart w:id="149" w:name="_Toc141099670"/>
      <w:bookmarkStart w:id="150" w:name="_Toc13665024"/>
      <w:bookmarkStart w:id="151" w:name="_Toc101004111"/>
      <w:bookmarkStart w:id="152" w:name="_Toc32309"/>
      <w:r>
        <w:rPr>
          <w:rFonts w:hint="eastAsia"/>
          <w:color w:val="auto"/>
          <w:highlight w:val="none"/>
        </w:rPr>
        <w:t>6.2残疾人福利性单位声明函</w:t>
      </w:r>
      <w:bookmarkEnd w:id="149"/>
      <w:bookmarkEnd w:id="150"/>
      <w:bookmarkEnd w:id="151"/>
      <w:bookmarkEnd w:id="152"/>
    </w:p>
    <w:p w14:paraId="70D3B7B8">
      <w:pPr>
        <w:spacing w:line="588" w:lineRule="exact"/>
        <w:ind w:firstLine="624" w:firstLineChars="200"/>
        <w:rPr>
          <w:rFonts w:ascii="仿宋_GB2312" w:eastAsia="仿宋_GB2312"/>
          <w:color w:val="auto"/>
          <w:spacing w:val="6"/>
          <w:sz w:val="30"/>
          <w:szCs w:val="30"/>
          <w:highlight w:val="none"/>
        </w:rPr>
      </w:pPr>
    </w:p>
    <w:p w14:paraId="053C025C">
      <w:pPr>
        <w:spacing w:line="588" w:lineRule="exact"/>
        <w:ind w:firstLine="504" w:firstLineChars="200"/>
        <w:rPr>
          <w:rFonts w:hint="eastAsia"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334847">
      <w:pPr>
        <w:spacing w:line="588" w:lineRule="exact"/>
        <w:ind w:firstLine="504" w:firstLineChars="200"/>
        <w:rPr>
          <w:rFonts w:hint="eastAsia"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4C68C939">
      <w:pPr>
        <w:spacing w:line="588" w:lineRule="exact"/>
        <w:ind w:firstLine="504" w:firstLineChars="200"/>
        <w:rPr>
          <w:rFonts w:hint="eastAsia" w:ascii="宋体" w:hAnsi="宋体"/>
          <w:color w:val="auto"/>
          <w:spacing w:val="6"/>
          <w:sz w:val="24"/>
          <w:highlight w:val="none"/>
        </w:rPr>
      </w:pPr>
    </w:p>
    <w:p w14:paraId="6AFC6C17">
      <w:pPr>
        <w:spacing w:line="588" w:lineRule="exact"/>
        <w:ind w:firstLine="504" w:firstLineChars="200"/>
        <w:rPr>
          <w:rFonts w:hint="eastAsia" w:ascii="宋体" w:hAnsi="宋体"/>
          <w:color w:val="auto"/>
          <w:spacing w:val="6"/>
          <w:sz w:val="24"/>
          <w:highlight w:val="none"/>
        </w:rPr>
      </w:pPr>
    </w:p>
    <w:p w14:paraId="70CBAD22">
      <w:pPr>
        <w:tabs>
          <w:tab w:val="left" w:pos="4860"/>
        </w:tabs>
        <w:spacing w:line="588" w:lineRule="exact"/>
        <w:ind w:right="1560" w:firstLine="504" w:firstLineChars="200"/>
        <w:jc w:val="center"/>
        <w:rPr>
          <w:rFonts w:hint="eastAsia" w:ascii="宋体" w:hAnsi="宋体"/>
          <w:color w:val="auto"/>
          <w:spacing w:val="6"/>
          <w:sz w:val="24"/>
          <w:highlight w:val="none"/>
        </w:rPr>
      </w:pPr>
      <w:r>
        <w:rPr>
          <w:rFonts w:hint="eastAsia" w:ascii="宋体" w:hAnsi="宋体"/>
          <w:color w:val="auto"/>
          <w:spacing w:val="6"/>
          <w:sz w:val="24"/>
          <w:highlight w:val="none"/>
        </w:rPr>
        <w:t xml:space="preserve">               单位名称（电子签章）：</w:t>
      </w:r>
    </w:p>
    <w:p w14:paraId="50BDD814">
      <w:pPr>
        <w:tabs>
          <w:tab w:val="left" w:pos="4860"/>
        </w:tabs>
        <w:spacing w:line="588" w:lineRule="exact"/>
        <w:ind w:right="1560" w:firstLine="504" w:firstLineChars="200"/>
        <w:jc w:val="center"/>
        <w:rPr>
          <w:rFonts w:hint="eastAsia" w:ascii="宋体" w:hAnsi="宋体"/>
          <w:color w:val="auto"/>
          <w:spacing w:val="6"/>
          <w:sz w:val="24"/>
          <w:highlight w:val="none"/>
        </w:rPr>
      </w:pPr>
      <w:r>
        <w:rPr>
          <w:rFonts w:hint="eastAsia" w:ascii="宋体" w:hAnsi="宋体"/>
          <w:color w:val="auto"/>
          <w:spacing w:val="6"/>
          <w:sz w:val="24"/>
          <w:highlight w:val="none"/>
        </w:rPr>
        <w:t xml:space="preserve">       日  期：</w:t>
      </w:r>
    </w:p>
    <w:p w14:paraId="1E17524E">
      <w:pPr>
        <w:spacing w:line="588" w:lineRule="exact"/>
        <w:rPr>
          <w:rFonts w:hint="eastAsia" w:ascii="宋体" w:hAnsi="宋体"/>
          <w:color w:val="auto"/>
          <w:sz w:val="24"/>
          <w:highlight w:val="none"/>
        </w:rPr>
      </w:pPr>
    </w:p>
    <w:p w14:paraId="7FBD4868">
      <w:pPr>
        <w:spacing w:line="588" w:lineRule="exact"/>
        <w:rPr>
          <w:color w:val="auto"/>
          <w:highlight w:val="none"/>
        </w:rPr>
      </w:pPr>
    </w:p>
    <w:p w14:paraId="1B8FC854">
      <w:pPr>
        <w:spacing w:line="588" w:lineRule="exact"/>
        <w:rPr>
          <w:color w:val="auto"/>
          <w:highlight w:val="none"/>
        </w:rPr>
      </w:pPr>
    </w:p>
    <w:p w14:paraId="7604EC72">
      <w:pPr>
        <w:spacing w:line="588" w:lineRule="exact"/>
        <w:rPr>
          <w:color w:val="auto"/>
          <w:highlight w:val="none"/>
        </w:rPr>
      </w:pPr>
    </w:p>
    <w:p w14:paraId="635837D5">
      <w:pPr>
        <w:spacing w:line="588" w:lineRule="exact"/>
        <w:rPr>
          <w:rFonts w:hint="eastAsia" w:ascii="宋体" w:hAnsi="宋体"/>
          <w:b/>
          <w:bCs/>
          <w:color w:val="auto"/>
          <w:spacing w:val="6"/>
          <w:sz w:val="24"/>
          <w:highlight w:val="none"/>
        </w:rPr>
      </w:pPr>
      <w:r>
        <w:rPr>
          <w:rFonts w:ascii="宋体" w:hAnsi="宋体"/>
          <w:b/>
          <w:color w:val="auto"/>
          <w:sz w:val="24"/>
          <w:highlight w:val="none"/>
        </w:rPr>
        <w:t>注</w:t>
      </w:r>
      <w:r>
        <w:rPr>
          <w:rFonts w:hint="eastAsia" w:ascii="宋体" w:hAnsi="宋体"/>
          <w:b/>
          <w:color w:val="auto"/>
          <w:sz w:val="24"/>
          <w:highlight w:val="none"/>
        </w:rPr>
        <w:t>：1、</w:t>
      </w:r>
      <w:r>
        <w:rPr>
          <w:rFonts w:hint="eastAsia" w:ascii="宋体" w:hAnsi="宋体"/>
          <w:b/>
          <w:bCs/>
          <w:color w:val="auto"/>
          <w:spacing w:val="6"/>
          <w:sz w:val="24"/>
          <w:highlight w:val="none"/>
        </w:rPr>
        <w:t>若投标人不属于残疾人福利性单位的，则不需要填写此声明函；</w:t>
      </w:r>
    </w:p>
    <w:p w14:paraId="35EFB884">
      <w:pPr>
        <w:spacing w:line="588" w:lineRule="exact"/>
        <w:rPr>
          <w:rFonts w:hint="eastAsia" w:ascii="宋体" w:hAnsi="宋体"/>
          <w:b/>
          <w:color w:val="auto"/>
          <w:sz w:val="24"/>
          <w:highlight w:val="none"/>
        </w:rPr>
      </w:pPr>
      <w:r>
        <w:rPr>
          <w:rFonts w:hint="eastAsia" w:ascii="宋体" w:hAnsi="宋体"/>
          <w:b/>
          <w:bCs/>
          <w:color w:val="auto"/>
          <w:spacing w:val="6"/>
          <w:sz w:val="24"/>
          <w:highlight w:val="none"/>
        </w:rPr>
        <w:t>2、</w:t>
      </w:r>
      <w:r>
        <w:rPr>
          <w:rFonts w:hint="eastAsia" w:ascii="宋体" w:hAnsi="宋体"/>
          <w:b/>
          <w:color w:val="auto"/>
          <w:sz w:val="24"/>
          <w:highlight w:val="none"/>
        </w:rPr>
        <w:t>中标供应商为残疾人福利性单位的，其《残疾人福利性单位声明函》将随中标结果同时公告，接受社会监督。供应商提供的《残疾人福利性单位声明函》与事实不符的，依照《政府采购法》第七十七条第一款的规定追究法律责任。</w:t>
      </w:r>
    </w:p>
    <w:p w14:paraId="48867765">
      <w:pPr>
        <w:widowControl/>
        <w:rPr>
          <w:rFonts w:ascii="宋体"/>
          <w:b/>
          <w:color w:val="auto"/>
          <w:sz w:val="28"/>
          <w:szCs w:val="28"/>
          <w:highlight w:val="none"/>
        </w:rPr>
      </w:pPr>
      <w:r>
        <w:rPr>
          <w:rFonts w:ascii="宋体"/>
          <w:b/>
          <w:color w:val="auto"/>
          <w:sz w:val="28"/>
          <w:szCs w:val="28"/>
          <w:highlight w:val="none"/>
        </w:rPr>
        <w:t xml:space="preserve"> </w:t>
      </w:r>
    </w:p>
    <w:p w14:paraId="699F368E">
      <w:pPr>
        <w:widowControl/>
        <w:jc w:val="left"/>
        <w:rPr>
          <w:rFonts w:hint="eastAsia" w:ascii="宋体" w:hAnsi="宋体"/>
          <w:b/>
          <w:color w:val="auto"/>
          <w:kern w:val="0"/>
          <w:sz w:val="32"/>
          <w:szCs w:val="32"/>
          <w:highlight w:val="none"/>
        </w:rPr>
      </w:pPr>
      <w:bookmarkStart w:id="153" w:name="_Toc141099671"/>
      <w:bookmarkStart w:id="154" w:name="_Toc101004112"/>
      <w:bookmarkStart w:id="155" w:name="_Toc13665025"/>
      <w:r>
        <w:rPr>
          <w:rFonts w:ascii="宋体" w:hAnsi="宋体"/>
          <w:color w:val="auto"/>
          <w:sz w:val="32"/>
          <w:szCs w:val="32"/>
          <w:highlight w:val="none"/>
        </w:rPr>
        <w:br w:type="page"/>
      </w:r>
    </w:p>
    <w:p w14:paraId="1BFCCFC3">
      <w:pPr>
        <w:pStyle w:val="6"/>
        <w:tabs>
          <w:tab w:val="left" w:pos="1021"/>
          <w:tab w:val="clear" w:pos="900"/>
          <w:tab w:val="clear" w:pos="1588"/>
        </w:tabs>
        <w:jc w:val="center"/>
        <w:rPr>
          <w:color w:val="auto"/>
          <w:highlight w:val="none"/>
        </w:rPr>
      </w:pPr>
      <w:bookmarkStart w:id="156" w:name="_Toc27854"/>
      <w:r>
        <w:rPr>
          <w:rFonts w:hint="eastAsia"/>
          <w:color w:val="auto"/>
          <w:highlight w:val="none"/>
        </w:rPr>
        <w:t>6.3监狱企业证明文件</w:t>
      </w:r>
      <w:bookmarkEnd w:id="153"/>
      <w:bookmarkEnd w:id="154"/>
      <w:bookmarkEnd w:id="155"/>
      <w:bookmarkEnd w:id="156"/>
    </w:p>
    <w:p w14:paraId="4CBB2E13">
      <w:pPr>
        <w:spacing w:line="360" w:lineRule="auto"/>
        <w:ind w:firstLine="420" w:firstLineChars="200"/>
        <w:jc w:val="left"/>
        <w:rPr>
          <w:rFonts w:hint="eastAsia" w:ascii="宋体" w:hAnsi="宋体"/>
          <w:color w:val="auto"/>
          <w:szCs w:val="21"/>
          <w:highlight w:val="none"/>
        </w:rPr>
      </w:pPr>
    </w:p>
    <w:p w14:paraId="43E37E9F">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根据《财政部 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97D6CF0">
      <w:pPr>
        <w:spacing w:line="360" w:lineRule="auto"/>
        <w:ind w:firstLine="315" w:firstLineChars="150"/>
        <w:jc w:val="left"/>
        <w:rPr>
          <w:rFonts w:hint="eastAsia" w:ascii="宋体" w:hAnsi="宋体"/>
          <w:color w:val="auto"/>
          <w:szCs w:val="21"/>
          <w:highlight w:val="none"/>
        </w:rPr>
      </w:pPr>
      <w:r>
        <w:rPr>
          <w:rFonts w:hint="eastAsia" w:ascii="宋体" w:hAnsi="宋体"/>
          <w:color w:val="auto"/>
          <w:szCs w:val="21"/>
          <w:highlight w:val="none"/>
        </w:rPr>
        <w:t>监狱企业参加政府采购活动时，应当提供由省级以上监狱管理局、戒毒管理局（含新疆生产建设兵团）出具的属于监狱企业的证明文件。</w:t>
      </w:r>
    </w:p>
    <w:p w14:paraId="721B428C">
      <w:pPr>
        <w:spacing w:line="360" w:lineRule="auto"/>
        <w:ind w:firstLine="361" w:firstLineChars="150"/>
        <w:jc w:val="left"/>
        <w:rPr>
          <w:rFonts w:hint="eastAsia" w:ascii="宋体" w:hAnsi="宋体"/>
          <w:color w:val="auto"/>
          <w:szCs w:val="21"/>
          <w:highlight w:val="none"/>
        </w:rPr>
      </w:pPr>
      <w:r>
        <w:rPr>
          <w:rFonts w:hint="eastAsia" w:ascii="宋体" w:hAnsi="宋体"/>
          <w:b/>
          <w:bCs/>
          <w:color w:val="auto"/>
          <w:sz w:val="24"/>
          <w:highlight w:val="none"/>
        </w:rPr>
        <w:t>注：若投标人不属于监狱企业的，则不需要提供证明文件。</w:t>
      </w:r>
    </w:p>
    <w:p w14:paraId="2BC8D821">
      <w:pPr>
        <w:widowControl/>
        <w:rPr>
          <w:rFonts w:hint="eastAsia" w:hAnsi="宋体"/>
          <w:b/>
          <w:color w:val="auto"/>
          <w:sz w:val="28"/>
          <w:szCs w:val="28"/>
          <w:highlight w:val="none"/>
        </w:rPr>
      </w:pPr>
      <w:r>
        <w:rPr>
          <w:rFonts w:hint="eastAsia" w:hAnsi="宋体"/>
          <w:color w:val="auto"/>
          <w:sz w:val="24"/>
          <w:highlight w:val="none"/>
        </w:rPr>
        <w:br w:type="page"/>
      </w:r>
    </w:p>
    <w:p w14:paraId="53183285">
      <w:pPr>
        <w:pStyle w:val="5"/>
        <w:rPr>
          <w:color w:val="auto"/>
          <w:highlight w:val="none"/>
        </w:rPr>
      </w:pPr>
      <w:bookmarkStart w:id="157" w:name="_Toc101004113"/>
      <w:bookmarkStart w:id="158" w:name="_Toc12969"/>
      <w:bookmarkStart w:id="159" w:name="_Toc141099672"/>
      <w:bookmarkStart w:id="160" w:name="_Toc493600035"/>
      <w:bookmarkStart w:id="161" w:name="_Toc13665026"/>
      <w:bookmarkStart w:id="162" w:name="_Toc213141100"/>
      <w:r>
        <w:rPr>
          <w:rFonts w:hint="eastAsia"/>
          <w:color w:val="auto"/>
          <w:highlight w:val="none"/>
        </w:rPr>
        <w:t>（七）商务条款偏离表</w:t>
      </w:r>
      <w:bookmarkEnd w:id="157"/>
      <w:bookmarkEnd w:id="158"/>
      <w:bookmarkEnd w:id="159"/>
      <w:bookmarkEnd w:id="160"/>
      <w:bookmarkEnd w:id="161"/>
      <w:bookmarkEnd w:id="162"/>
    </w:p>
    <w:p w14:paraId="6256EB8F">
      <w:pPr>
        <w:pStyle w:val="19"/>
        <w:rPr>
          <w:rFonts w:hint="eastAsia"/>
          <w:color w:val="auto"/>
          <w:highlight w:val="none"/>
        </w:rPr>
      </w:pPr>
      <w:r>
        <w:rPr>
          <w:rFonts w:hint="eastAsia"/>
          <w:color w:val="auto"/>
          <w:highlight w:val="none"/>
        </w:rPr>
        <w:t>投标人须逐条对应招标文件中要求的商务条款，认真填写该表。</w:t>
      </w:r>
    </w:p>
    <w:p w14:paraId="3B97C596">
      <w:pPr>
        <w:pStyle w:val="19"/>
        <w:rPr>
          <w:rFonts w:hint="eastAsia"/>
          <w:b/>
          <w:color w:val="auto"/>
          <w:highlight w:val="none"/>
        </w:rPr>
      </w:pPr>
      <w:r>
        <w:rPr>
          <w:rFonts w:hint="eastAsia"/>
          <w:color w:val="auto"/>
          <w:highlight w:val="none"/>
        </w:rPr>
        <w:t>商务条款是指：</w:t>
      </w:r>
      <w:r>
        <w:rPr>
          <w:rFonts w:hint="eastAsia"/>
          <w:b/>
          <w:bCs/>
          <w:color w:val="auto"/>
          <w:highlight w:val="none"/>
          <w:lang w:val="en-US" w:eastAsia="zh-CN"/>
        </w:rPr>
        <w:t>质保期、</w:t>
      </w:r>
      <w:r>
        <w:rPr>
          <w:rFonts w:hint="eastAsia"/>
          <w:b/>
          <w:color w:val="auto"/>
          <w:highlight w:val="none"/>
        </w:rPr>
        <w:t>交货期、交货地点、交货方式、质量标准、付款方式等要求。</w:t>
      </w:r>
    </w:p>
    <w:p w14:paraId="4883CFE7">
      <w:pPr>
        <w:pStyle w:val="19"/>
        <w:rPr>
          <w:rFonts w:hint="eastAsia"/>
          <w:color w:val="auto"/>
          <w:highlight w:val="none"/>
        </w:rPr>
      </w:pPr>
      <w:r>
        <w:rPr>
          <w:rFonts w:hint="eastAsia"/>
          <w:color w:val="auto"/>
          <w:highlight w:val="none"/>
        </w:rPr>
        <w:t>项目名称：</w:t>
      </w:r>
      <w:r>
        <w:rPr>
          <w:rFonts w:hint="eastAsia"/>
          <w:color w:val="auto"/>
          <w:highlight w:val="none"/>
          <w:lang w:eastAsia="zh-CN"/>
        </w:rPr>
        <w:t>怒江州中医医院心肺康复设备采购项目</w:t>
      </w:r>
      <w:r>
        <w:rPr>
          <w:rFonts w:hint="eastAsia"/>
          <w:color w:val="auto"/>
          <w:highlight w:val="none"/>
        </w:rPr>
        <w:t xml:space="preserve">          </w:t>
      </w:r>
    </w:p>
    <w:p w14:paraId="03CBA48B">
      <w:pPr>
        <w:pStyle w:val="19"/>
        <w:rPr>
          <w:rFonts w:hint="eastAsia" w:eastAsia="宋体"/>
          <w:color w:val="auto"/>
          <w:highlight w:val="none"/>
          <w:u w:val="single"/>
          <w:lang w:eastAsia="zh-CN"/>
        </w:rPr>
      </w:pPr>
      <w:r>
        <w:rPr>
          <w:rFonts w:hint="eastAsia"/>
          <w:color w:val="auto"/>
          <w:highlight w:val="none"/>
        </w:rPr>
        <w:t>项目编号：</w:t>
      </w:r>
      <w:r>
        <w:rPr>
          <w:rFonts w:hint="eastAsia"/>
          <w:color w:val="auto"/>
          <w:highlight w:val="none"/>
          <w:lang w:eastAsia="zh-CN"/>
        </w:rPr>
        <w:t xml:space="preserve"> NJZC2025-G1-00360-YZGF-1037</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067"/>
        <w:gridCol w:w="2589"/>
        <w:gridCol w:w="2417"/>
        <w:gridCol w:w="1586"/>
        <w:gridCol w:w="1577"/>
      </w:tblGrid>
      <w:tr w14:paraId="0CCE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vAlign w:val="center"/>
          </w:tcPr>
          <w:p w14:paraId="367410E2">
            <w:pPr>
              <w:pStyle w:val="19"/>
              <w:spacing w:line="240" w:lineRule="auto"/>
              <w:jc w:val="center"/>
              <w:rPr>
                <w:rFonts w:hint="eastAsia"/>
                <w:color w:val="auto"/>
                <w:highlight w:val="none"/>
              </w:rPr>
            </w:pPr>
            <w:r>
              <w:rPr>
                <w:rFonts w:hint="eastAsia"/>
                <w:color w:val="auto"/>
                <w:highlight w:val="none"/>
              </w:rPr>
              <w:t>序号</w:t>
            </w:r>
          </w:p>
        </w:tc>
        <w:tc>
          <w:tcPr>
            <w:tcW w:w="1067" w:type="dxa"/>
            <w:vAlign w:val="center"/>
          </w:tcPr>
          <w:p w14:paraId="1DB88446">
            <w:pPr>
              <w:pStyle w:val="19"/>
              <w:spacing w:line="240" w:lineRule="auto"/>
              <w:jc w:val="center"/>
              <w:rPr>
                <w:rFonts w:hint="eastAsia"/>
                <w:color w:val="auto"/>
                <w:highlight w:val="none"/>
              </w:rPr>
            </w:pPr>
            <w:r>
              <w:rPr>
                <w:rFonts w:hint="eastAsia"/>
                <w:color w:val="auto"/>
                <w:highlight w:val="none"/>
              </w:rPr>
              <w:t>招标文件页码及条目号</w:t>
            </w:r>
          </w:p>
        </w:tc>
        <w:tc>
          <w:tcPr>
            <w:tcW w:w="2589" w:type="dxa"/>
            <w:vAlign w:val="center"/>
          </w:tcPr>
          <w:p w14:paraId="4AB7208F">
            <w:pPr>
              <w:pStyle w:val="19"/>
              <w:spacing w:line="240" w:lineRule="auto"/>
              <w:jc w:val="center"/>
              <w:rPr>
                <w:rFonts w:hint="eastAsia"/>
                <w:color w:val="auto"/>
                <w:highlight w:val="none"/>
              </w:rPr>
            </w:pPr>
            <w:r>
              <w:rPr>
                <w:rFonts w:hint="eastAsia"/>
                <w:color w:val="auto"/>
                <w:highlight w:val="none"/>
              </w:rPr>
              <w:t>招标文件的商务条款</w:t>
            </w:r>
          </w:p>
        </w:tc>
        <w:tc>
          <w:tcPr>
            <w:tcW w:w="2417" w:type="dxa"/>
            <w:vAlign w:val="center"/>
          </w:tcPr>
          <w:p w14:paraId="6E68F174">
            <w:pPr>
              <w:pStyle w:val="19"/>
              <w:spacing w:line="240" w:lineRule="auto"/>
              <w:jc w:val="center"/>
              <w:rPr>
                <w:rFonts w:hint="eastAsia"/>
                <w:color w:val="auto"/>
                <w:highlight w:val="none"/>
              </w:rPr>
            </w:pPr>
            <w:r>
              <w:rPr>
                <w:rFonts w:hint="eastAsia"/>
                <w:color w:val="auto"/>
                <w:highlight w:val="none"/>
              </w:rPr>
              <w:t>投标文件的商务条款</w:t>
            </w:r>
          </w:p>
        </w:tc>
        <w:tc>
          <w:tcPr>
            <w:tcW w:w="1586" w:type="dxa"/>
            <w:vAlign w:val="center"/>
          </w:tcPr>
          <w:p w14:paraId="4B03D15F">
            <w:pPr>
              <w:pStyle w:val="19"/>
              <w:spacing w:line="240" w:lineRule="auto"/>
              <w:jc w:val="center"/>
              <w:rPr>
                <w:rFonts w:hint="eastAsia"/>
                <w:color w:val="auto"/>
                <w:highlight w:val="none"/>
              </w:rPr>
            </w:pPr>
            <w:r>
              <w:rPr>
                <w:rFonts w:hint="eastAsia"/>
                <w:color w:val="auto"/>
                <w:highlight w:val="none"/>
              </w:rPr>
              <w:t>响应情况说明</w:t>
            </w:r>
          </w:p>
        </w:tc>
        <w:tc>
          <w:tcPr>
            <w:tcW w:w="1577" w:type="dxa"/>
            <w:vAlign w:val="center"/>
          </w:tcPr>
          <w:p w14:paraId="6C840872">
            <w:pPr>
              <w:pStyle w:val="19"/>
              <w:spacing w:line="240" w:lineRule="auto"/>
              <w:jc w:val="center"/>
              <w:rPr>
                <w:rFonts w:hint="eastAsia"/>
                <w:color w:val="auto"/>
                <w:highlight w:val="none"/>
              </w:rPr>
            </w:pPr>
            <w:r>
              <w:rPr>
                <w:rFonts w:hint="eastAsia"/>
                <w:color w:val="auto"/>
                <w:highlight w:val="none"/>
              </w:rPr>
              <w:t>商务条件支持资料索引</w:t>
            </w:r>
          </w:p>
          <w:p w14:paraId="2044DC93">
            <w:pPr>
              <w:pStyle w:val="19"/>
              <w:spacing w:line="240" w:lineRule="auto"/>
              <w:jc w:val="center"/>
              <w:rPr>
                <w:rFonts w:hint="eastAsia"/>
                <w:color w:val="auto"/>
                <w:highlight w:val="none"/>
              </w:rPr>
            </w:pPr>
            <w:r>
              <w:rPr>
                <w:rFonts w:hint="eastAsia"/>
                <w:color w:val="auto"/>
                <w:highlight w:val="none"/>
              </w:rPr>
              <w:t>（页码及条目号等）</w:t>
            </w:r>
          </w:p>
        </w:tc>
      </w:tr>
      <w:tr w14:paraId="655E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2D8A9E2">
            <w:pPr>
              <w:pStyle w:val="19"/>
              <w:rPr>
                <w:rFonts w:hint="eastAsia"/>
                <w:color w:val="auto"/>
                <w:highlight w:val="none"/>
              </w:rPr>
            </w:pPr>
          </w:p>
        </w:tc>
        <w:tc>
          <w:tcPr>
            <w:tcW w:w="1067" w:type="dxa"/>
          </w:tcPr>
          <w:p w14:paraId="7CFA4A0B">
            <w:pPr>
              <w:pStyle w:val="19"/>
              <w:rPr>
                <w:rFonts w:hint="eastAsia"/>
                <w:color w:val="auto"/>
                <w:highlight w:val="none"/>
              </w:rPr>
            </w:pPr>
          </w:p>
        </w:tc>
        <w:tc>
          <w:tcPr>
            <w:tcW w:w="2589" w:type="dxa"/>
          </w:tcPr>
          <w:p w14:paraId="28F78D72">
            <w:pPr>
              <w:pStyle w:val="19"/>
              <w:rPr>
                <w:rFonts w:hint="eastAsia"/>
                <w:color w:val="auto"/>
                <w:highlight w:val="none"/>
              </w:rPr>
            </w:pPr>
          </w:p>
        </w:tc>
        <w:tc>
          <w:tcPr>
            <w:tcW w:w="2417" w:type="dxa"/>
          </w:tcPr>
          <w:p w14:paraId="3BFA1539">
            <w:pPr>
              <w:pStyle w:val="19"/>
              <w:rPr>
                <w:rFonts w:hint="eastAsia"/>
                <w:color w:val="auto"/>
                <w:highlight w:val="none"/>
              </w:rPr>
            </w:pPr>
          </w:p>
        </w:tc>
        <w:tc>
          <w:tcPr>
            <w:tcW w:w="1586" w:type="dxa"/>
          </w:tcPr>
          <w:p w14:paraId="040CF823">
            <w:pPr>
              <w:pStyle w:val="19"/>
              <w:rPr>
                <w:rFonts w:hint="eastAsia"/>
                <w:color w:val="auto"/>
                <w:highlight w:val="none"/>
              </w:rPr>
            </w:pPr>
          </w:p>
        </w:tc>
        <w:tc>
          <w:tcPr>
            <w:tcW w:w="1577" w:type="dxa"/>
          </w:tcPr>
          <w:p w14:paraId="009814AF">
            <w:pPr>
              <w:pStyle w:val="19"/>
              <w:rPr>
                <w:rFonts w:hint="eastAsia"/>
                <w:color w:val="auto"/>
                <w:highlight w:val="none"/>
              </w:rPr>
            </w:pPr>
          </w:p>
        </w:tc>
      </w:tr>
      <w:tr w14:paraId="2EDA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6ACBA30A">
            <w:pPr>
              <w:pStyle w:val="19"/>
              <w:rPr>
                <w:rFonts w:hint="eastAsia"/>
                <w:color w:val="auto"/>
                <w:highlight w:val="none"/>
              </w:rPr>
            </w:pPr>
          </w:p>
        </w:tc>
        <w:tc>
          <w:tcPr>
            <w:tcW w:w="1067" w:type="dxa"/>
          </w:tcPr>
          <w:p w14:paraId="213A9E69">
            <w:pPr>
              <w:pStyle w:val="19"/>
              <w:rPr>
                <w:rFonts w:hint="eastAsia"/>
                <w:color w:val="auto"/>
                <w:highlight w:val="none"/>
              </w:rPr>
            </w:pPr>
          </w:p>
        </w:tc>
        <w:tc>
          <w:tcPr>
            <w:tcW w:w="2589" w:type="dxa"/>
          </w:tcPr>
          <w:p w14:paraId="60DBEBA6">
            <w:pPr>
              <w:pStyle w:val="19"/>
              <w:rPr>
                <w:rFonts w:hint="eastAsia"/>
                <w:color w:val="auto"/>
                <w:highlight w:val="none"/>
              </w:rPr>
            </w:pPr>
          </w:p>
        </w:tc>
        <w:tc>
          <w:tcPr>
            <w:tcW w:w="2417" w:type="dxa"/>
          </w:tcPr>
          <w:p w14:paraId="6FEC2069">
            <w:pPr>
              <w:pStyle w:val="19"/>
              <w:rPr>
                <w:rFonts w:hint="eastAsia"/>
                <w:color w:val="auto"/>
                <w:highlight w:val="none"/>
              </w:rPr>
            </w:pPr>
          </w:p>
        </w:tc>
        <w:tc>
          <w:tcPr>
            <w:tcW w:w="1586" w:type="dxa"/>
          </w:tcPr>
          <w:p w14:paraId="50A44591">
            <w:pPr>
              <w:pStyle w:val="19"/>
              <w:rPr>
                <w:rFonts w:hint="eastAsia"/>
                <w:color w:val="auto"/>
                <w:highlight w:val="none"/>
              </w:rPr>
            </w:pPr>
          </w:p>
        </w:tc>
        <w:tc>
          <w:tcPr>
            <w:tcW w:w="1577" w:type="dxa"/>
          </w:tcPr>
          <w:p w14:paraId="490DBB65">
            <w:pPr>
              <w:pStyle w:val="19"/>
              <w:rPr>
                <w:rFonts w:hint="eastAsia"/>
                <w:color w:val="auto"/>
                <w:highlight w:val="none"/>
              </w:rPr>
            </w:pPr>
          </w:p>
        </w:tc>
      </w:tr>
      <w:tr w14:paraId="3421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1E8ABD97">
            <w:pPr>
              <w:pStyle w:val="19"/>
              <w:rPr>
                <w:rFonts w:hint="eastAsia"/>
                <w:color w:val="auto"/>
                <w:highlight w:val="none"/>
              </w:rPr>
            </w:pPr>
          </w:p>
        </w:tc>
        <w:tc>
          <w:tcPr>
            <w:tcW w:w="1067" w:type="dxa"/>
          </w:tcPr>
          <w:p w14:paraId="4B981263">
            <w:pPr>
              <w:pStyle w:val="19"/>
              <w:rPr>
                <w:rFonts w:hint="eastAsia"/>
                <w:color w:val="auto"/>
                <w:highlight w:val="none"/>
              </w:rPr>
            </w:pPr>
          </w:p>
        </w:tc>
        <w:tc>
          <w:tcPr>
            <w:tcW w:w="2589" w:type="dxa"/>
          </w:tcPr>
          <w:p w14:paraId="24063336">
            <w:pPr>
              <w:pStyle w:val="19"/>
              <w:rPr>
                <w:rFonts w:hint="eastAsia"/>
                <w:color w:val="auto"/>
                <w:highlight w:val="none"/>
              </w:rPr>
            </w:pPr>
          </w:p>
        </w:tc>
        <w:tc>
          <w:tcPr>
            <w:tcW w:w="2417" w:type="dxa"/>
          </w:tcPr>
          <w:p w14:paraId="1CE770E4">
            <w:pPr>
              <w:pStyle w:val="19"/>
              <w:rPr>
                <w:rFonts w:hint="eastAsia"/>
                <w:color w:val="auto"/>
                <w:highlight w:val="none"/>
              </w:rPr>
            </w:pPr>
          </w:p>
        </w:tc>
        <w:tc>
          <w:tcPr>
            <w:tcW w:w="1586" w:type="dxa"/>
          </w:tcPr>
          <w:p w14:paraId="75E29F3C">
            <w:pPr>
              <w:pStyle w:val="19"/>
              <w:rPr>
                <w:rFonts w:hint="eastAsia"/>
                <w:color w:val="auto"/>
                <w:highlight w:val="none"/>
              </w:rPr>
            </w:pPr>
          </w:p>
        </w:tc>
        <w:tc>
          <w:tcPr>
            <w:tcW w:w="1577" w:type="dxa"/>
          </w:tcPr>
          <w:p w14:paraId="1203BAC9">
            <w:pPr>
              <w:pStyle w:val="19"/>
              <w:rPr>
                <w:rFonts w:hint="eastAsia"/>
                <w:color w:val="auto"/>
                <w:highlight w:val="none"/>
              </w:rPr>
            </w:pPr>
          </w:p>
        </w:tc>
      </w:tr>
      <w:tr w14:paraId="26C1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E6FC0F2">
            <w:pPr>
              <w:pStyle w:val="19"/>
              <w:rPr>
                <w:rFonts w:hint="eastAsia"/>
                <w:color w:val="auto"/>
                <w:highlight w:val="none"/>
              </w:rPr>
            </w:pPr>
          </w:p>
        </w:tc>
        <w:tc>
          <w:tcPr>
            <w:tcW w:w="1067" w:type="dxa"/>
          </w:tcPr>
          <w:p w14:paraId="2049FFC6">
            <w:pPr>
              <w:pStyle w:val="19"/>
              <w:rPr>
                <w:rFonts w:hint="eastAsia"/>
                <w:color w:val="auto"/>
                <w:highlight w:val="none"/>
              </w:rPr>
            </w:pPr>
          </w:p>
        </w:tc>
        <w:tc>
          <w:tcPr>
            <w:tcW w:w="2589" w:type="dxa"/>
          </w:tcPr>
          <w:p w14:paraId="51E60C25">
            <w:pPr>
              <w:pStyle w:val="19"/>
              <w:rPr>
                <w:rFonts w:hint="eastAsia"/>
                <w:color w:val="auto"/>
                <w:highlight w:val="none"/>
              </w:rPr>
            </w:pPr>
          </w:p>
        </w:tc>
        <w:tc>
          <w:tcPr>
            <w:tcW w:w="2417" w:type="dxa"/>
          </w:tcPr>
          <w:p w14:paraId="016CD0A5">
            <w:pPr>
              <w:pStyle w:val="19"/>
              <w:rPr>
                <w:rFonts w:hint="eastAsia"/>
                <w:color w:val="auto"/>
                <w:highlight w:val="none"/>
              </w:rPr>
            </w:pPr>
          </w:p>
        </w:tc>
        <w:tc>
          <w:tcPr>
            <w:tcW w:w="1586" w:type="dxa"/>
          </w:tcPr>
          <w:p w14:paraId="468CFE51">
            <w:pPr>
              <w:pStyle w:val="19"/>
              <w:rPr>
                <w:rFonts w:hint="eastAsia"/>
                <w:color w:val="auto"/>
                <w:highlight w:val="none"/>
              </w:rPr>
            </w:pPr>
          </w:p>
        </w:tc>
        <w:tc>
          <w:tcPr>
            <w:tcW w:w="1577" w:type="dxa"/>
          </w:tcPr>
          <w:p w14:paraId="2A0541FE">
            <w:pPr>
              <w:pStyle w:val="19"/>
              <w:rPr>
                <w:rFonts w:hint="eastAsia"/>
                <w:color w:val="auto"/>
                <w:highlight w:val="none"/>
              </w:rPr>
            </w:pPr>
          </w:p>
        </w:tc>
      </w:tr>
      <w:tr w14:paraId="057F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dxa"/>
          </w:tcPr>
          <w:p w14:paraId="69665556">
            <w:pPr>
              <w:pStyle w:val="19"/>
              <w:rPr>
                <w:rFonts w:hint="eastAsia"/>
                <w:color w:val="auto"/>
                <w:highlight w:val="none"/>
              </w:rPr>
            </w:pPr>
          </w:p>
        </w:tc>
        <w:tc>
          <w:tcPr>
            <w:tcW w:w="1067" w:type="dxa"/>
          </w:tcPr>
          <w:p w14:paraId="15E4A1C1">
            <w:pPr>
              <w:pStyle w:val="19"/>
              <w:rPr>
                <w:rFonts w:hint="eastAsia"/>
                <w:color w:val="auto"/>
                <w:highlight w:val="none"/>
              </w:rPr>
            </w:pPr>
          </w:p>
        </w:tc>
        <w:tc>
          <w:tcPr>
            <w:tcW w:w="2589" w:type="dxa"/>
          </w:tcPr>
          <w:p w14:paraId="7F1E36F6">
            <w:pPr>
              <w:pStyle w:val="19"/>
              <w:rPr>
                <w:rFonts w:hint="eastAsia"/>
                <w:color w:val="auto"/>
                <w:highlight w:val="none"/>
              </w:rPr>
            </w:pPr>
          </w:p>
        </w:tc>
        <w:tc>
          <w:tcPr>
            <w:tcW w:w="2417" w:type="dxa"/>
          </w:tcPr>
          <w:p w14:paraId="452F7101">
            <w:pPr>
              <w:pStyle w:val="19"/>
              <w:rPr>
                <w:rFonts w:hint="eastAsia"/>
                <w:color w:val="auto"/>
                <w:highlight w:val="none"/>
              </w:rPr>
            </w:pPr>
          </w:p>
        </w:tc>
        <w:tc>
          <w:tcPr>
            <w:tcW w:w="1586" w:type="dxa"/>
          </w:tcPr>
          <w:p w14:paraId="480F1418">
            <w:pPr>
              <w:pStyle w:val="19"/>
              <w:rPr>
                <w:rFonts w:hint="eastAsia"/>
                <w:color w:val="auto"/>
                <w:highlight w:val="none"/>
              </w:rPr>
            </w:pPr>
          </w:p>
        </w:tc>
        <w:tc>
          <w:tcPr>
            <w:tcW w:w="1577" w:type="dxa"/>
          </w:tcPr>
          <w:p w14:paraId="0582C9AB">
            <w:pPr>
              <w:pStyle w:val="19"/>
              <w:rPr>
                <w:rFonts w:hint="eastAsia"/>
                <w:color w:val="auto"/>
                <w:highlight w:val="none"/>
              </w:rPr>
            </w:pPr>
          </w:p>
        </w:tc>
      </w:tr>
      <w:tr w14:paraId="374B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211F046">
            <w:pPr>
              <w:pStyle w:val="19"/>
              <w:rPr>
                <w:rFonts w:hint="eastAsia"/>
                <w:color w:val="auto"/>
                <w:highlight w:val="none"/>
              </w:rPr>
            </w:pPr>
          </w:p>
        </w:tc>
        <w:tc>
          <w:tcPr>
            <w:tcW w:w="1067" w:type="dxa"/>
          </w:tcPr>
          <w:p w14:paraId="053B681A">
            <w:pPr>
              <w:pStyle w:val="19"/>
              <w:rPr>
                <w:rFonts w:hint="eastAsia"/>
                <w:color w:val="auto"/>
                <w:highlight w:val="none"/>
              </w:rPr>
            </w:pPr>
          </w:p>
        </w:tc>
        <w:tc>
          <w:tcPr>
            <w:tcW w:w="2589" w:type="dxa"/>
          </w:tcPr>
          <w:p w14:paraId="5315698A">
            <w:pPr>
              <w:pStyle w:val="19"/>
              <w:rPr>
                <w:rFonts w:hint="eastAsia"/>
                <w:color w:val="auto"/>
                <w:highlight w:val="none"/>
              </w:rPr>
            </w:pPr>
          </w:p>
        </w:tc>
        <w:tc>
          <w:tcPr>
            <w:tcW w:w="2417" w:type="dxa"/>
          </w:tcPr>
          <w:p w14:paraId="777EB786">
            <w:pPr>
              <w:pStyle w:val="19"/>
              <w:rPr>
                <w:rFonts w:hint="eastAsia"/>
                <w:color w:val="auto"/>
                <w:highlight w:val="none"/>
              </w:rPr>
            </w:pPr>
          </w:p>
        </w:tc>
        <w:tc>
          <w:tcPr>
            <w:tcW w:w="1586" w:type="dxa"/>
          </w:tcPr>
          <w:p w14:paraId="53538FE2">
            <w:pPr>
              <w:pStyle w:val="19"/>
              <w:rPr>
                <w:rFonts w:hint="eastAsia"/>
                <w:color w:val="auto"/>
                <w:highlight w:val="none"/>
              </w:rPr>
            </w:pPr>
          </w:p>
        </w:tc>
        <w:tc>
          <w:tcPr>
            <w:tcW w:w="1577" w:type="dxa"/>
          </w:tcPr>
          <w:p w14:paraId="47C3A2D9">
            <w:pPr>
              <w:pStyle w:val="19"/>
              <w:rPr>
                <w:rFonts w:hint="eastAsia"/>
                <w:color w:val="auto"/>
                <w:highlight w:val="none"/>
              </w:rPr>
            </w:pPr>
          </w:p>
        </w:tc>
      </w:tr>
      <w:tr w14:paraId="7DEC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5CC404E7">
            <w:pPr>
              <w:pStyle w:val="19"/>
              <w:rPr>
                <w:rFonts w:hint="eastAsia"/>
                <w:color w:val="auto"/>
                <w:highlight w:val="none"/>
              </w:rPr>
            </w:pPr>
          </w:p>
        </w:tc>
        <w:tc>
          <w:tcPr>
            <w:tcW w:w="1067" w:type="dxa"/>
          </w:tcPr>
          <w:p w14:paraId="66FD0468">
            <w:pPr>
              <w:pStyle w:val="19"/>
              <w:rPr>
                <w:rFonts w:hint="eastAsia"/>
                <w:color w:val="auto"/>
                <w:highlight w:val="none"/>
              </w:rPr>
            </w:pPr>
          </w:p>
        </w:tc>
        <w:tc>
          <w:tcPr>
            <w:tcW w:w="2589" w:type="dxa"/>
          </w:tcPr>
          <w:p w14:paraId="139EF89A">
            <w:pPr>
              <w:pStyle w:val="19"/>
              <w:rPr>
                <w:rFonts w:hint="eastAsia"/>
                <w:color w:val="auto"/>
                <w:highlight w:val="none"/>
              </w:rPr>
            </w:pPr>
          </w:p>
        </w:tc>
        <w:tc>
          <w:tcPr>
            <w:tcW w:w="2417" w:type="dxa"/>
          </w:tcPr>
          <w:p w14:paraId="54B3F839">
            <w:pPr>
              <w:pStyle w:val="19"/>
              <w:rPr>
                <w:rFonts w:hint="eastAsia"/>
                <w:color w:val="auto"/>
                <w:highlight w:val="none"/>
              </w:rPr>
            </w:pPr>
          </w:p>
        </w:tc>
        <w:tc>
          <w:tcPr>
            <w:tcW w:w="1586" w:type="dxa"/>
          </w:tcPr>
          <w:p w14:paraId="1746791A">
            <w:pPr>
              <w:pStyle w:val="19"/>
              <w:rPr>
                <w:rFonts w:hint="eastAsia"/>
                <w:color w:val="auto"/>
                <w:highlight w:val="none"/>
              </w:rPr>
            </w:pPr>
          </w:p>
        </w:tc>
        <w:tc>
          <w:tcPr>
            <w:tcW w:w="1577" w:type="dxa"/>
          </w:tcPr>
          <w:p w14:paraId="05A09E7C">
            <w:pPr>
              <w:pStyle w:val="19"/>
              <w:rPr>
                <w:rFonts w:hint="eastAsia"/>
                <w:color w:val="auto"/>
                <w:highlight w:val="none"/>
              </w:rPr>
            </w:pPr>
          </w:p>
        </w:tc>
      </w:tr>
      <w:tr w14:paraId="7A6E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B88A101">
            <w:pPr>
              <w:pStyle w:val="19"/>
              <w:rPr>
                <w:rFonts w:hint="eastAsia"/>
                <w:color w:val="auto"/>
                <w:highlight w:val="none"/>
              </w:rPr>
            </w:pPr>
          </w:p>
        </w:tc>
        <w:tc>
          <w:tcPr>
            <w:tcW w:w="1067" w:type="dxa"/>
          </w:tcPr>
          <w:p w14:paraId="43959E2C">
            <w:pPr>
              <w:pStyle w:val="19"/>
              <w:rPr>
                <w:rFonts w:hint="eastAsia"/>
                <w:color w:val="auto"/>
                <w:highlight w:val="none"/>
              </w:rPr>
            </w:pPr>
          </w:p>
        </w:tc>
        <w:tc>
          <w:tcPr>
            <w:tcW w:w="2589" w:type="dxa"/>
          </w:tcPr>
          <w:p w14:paraId="5DE1CCBC">
            <w:pPr>
              <w:pStyle w:val="19"/>
              <w:rPr>
                <w:rFonts w:hint="eastAsia"/>
                <w:color w:val="auto"/>
                <w:highlight w:val="none"/>
              </w:rPr>
            </w:pPr>
          </w:p>
        </w:tc>
        <w:tc>
          <w:tcPr>
            <w:tcW w:w="2417" w:type="dxa"/>
          </w:tcPr>
          <w:p w14:paraId="3A781E77">
            <w:pPr>
              <w:pStyle w:val="19"/>
              <w:rPr>
                <w:rFonts w:hint="eastAsia"/>
                <w:color w:val="auto"/>
                <w:highlight w:val="none"/>
              </w:rPr>
            </w:pPr>
          </w:p>
        </w:tc>
        <w:tc>
          <w:tcPr>
            <w:tcW w:w="1586" w:type="dxa"/>
          </w:tcPr>
          <w:p w14:paraId="2D3590BA">
            <w:pPr>
              <w:pStyle w:val="19"/>
              <w:rPr>
                <w:rFonts w:hint="eastAsia"/>
                <w:color w:val="auto"/>
                <w:highlight w:val="none"/>
              </w:rPr>
            </w:pPr>
          </w:p>
        </w:tc>
        <w:tc>
          <w:tcPr>
            <w:tcW w:w="1577" w:type="dxa"/>
          </w:tcPr>
          <w:p w14:paraId="7AFDECB5">
            <w:pPr>
              <w:pStyle w:val="19"/>
              <w:rPr>
                <w:rFonts w:hint="eastAsia"/>
                <w:color w:val="auto"/>
                <w:highlight w:val="none"/>
              </w:rPr>
            </w:pPr>
          </w:p>
        </w:tc>
      </w:tr>
      <w:tr w14:paraId="61A1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B3B0945">
            <w:pPr>
              <w:pStyle w:val="19"/>
              <w:rPr>
                <w:rFonts w:hint="eastAsia"/>
                <w:color w:val="auto"/>
                <w:highlight w:val="none"/>
              </w:rPr>
            </w:pPr>
          </w:p>
        </w:tc>
        <w:tc>
          <w:tcPr>
            <w:tcW w:w="1067" w:type="dxa"/>
          </w:tcPr>
          <w:p w14:paraId="72DF54EF">
            <w:pPr>
              <w:pStyle w:val="19"/>
              <w:rPr>
                <w:rFonts w:hint="eastAsia"/>
                <w:color w:val="auto"/>
                <w:highlight w:val="none"/>
              </w:rPr>
            </w:pPr>
          </w:p>
        </w:tc>
        <w:tc>
          <w:tcPr>
            <w:tcW w:w="2589" w:type="dxa"/>
          </w:tcPr>
          <w:p w14:paraId="7CCA4FDA">
            <w:pPr>
              <w:pStyle w:val="19"/>
              <w:rPr>
                <w:rFonts w:hint="eastAsia"/>
                <w:color w:val="auto"/>
                <w:highlight w:val="none"/>
              </w:rPr>
            </w:pPr>
          </w:p>
        </w:tc>
        <w:tc>
          <w:tcPr>
            <w:tcW w:w="2417" w:type="dxa"/>
          </w:tcPr>
          <w:p w14:paraId="78666849">
            <w:pPr>
              <w:pStyle w:val="19"/>
              <w:rPr>
                <w:rFonts w:hint="eastAsia"/>
                <w:color w:val="auto"/>
                <w:highlight w:val="none"/>
              </w:rPr>
            </w:pPr>
          </w:p>
        </w:tc>
        <w:tc>
          <w:tcPr>
            <w:tcW w:w="1586" w:type="dxa"/>
          </w:tcPr>
          <w:p w14:paraId="0BBBAFBC">
            <w:pPr>
              <w:pStyle w:val="19"/>
              <w:rPr>
                <w:rFonts w:hint="eastAsia"/>
                <w:color w:val="auto"/>
                <w:highlight w:val="none"/>
              </w:rPr>
            </w:pPr>
          </w:p>
        </w:tc>
        <w:tc>
          <w:tcPr>
            <w:tcW w:w="1577" w:type="dxa"/>
          </w:tcPr>
          <w:p w14:paraId="3A517279">
            <w:pPr>
              <w:pStyle w:val="19"/>
              <w:rPr>
                <w:rFonts w:hint="eastAsia"/>
                <w:color w:val="auto"/>
                <w:highlight w:val="none"/>
              </w:rPr>
            </w:pPr>
          </w:p>
        </w:tc>
      </w:tr>
      <w:tr w14:paraId="56C9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82430C7">
            <w:pPr>
              <w:pStyle w:val="19"/>
              <w:rPr>
                <w:rFonts w:hint="eastAsia"/>
                <w:color w:val="auto"/>
                <w:highlight w:val="none"/>
              </w:rPr>
            </w:pPr>
          </w:p>
        </w:tc>
        <w:tc>
          <w:tcPr>
            <w:tcW w:w="1067" w:type="dxa"/>
          </w:tcPr>
          <w:p w14:paraId="6F6FE8A7">
            <w:pPr>
              <w:pStyle w:val="19"/>
              <w:rPr>
                <w:rFonts w:hint="eastAsia"/>
                <w:color w:val="auto"/>
                <w:highlight w:val="none"/>
              </w:rPr>
            </w:pPr>
          </w:p>
        </w:tc>
        <w:tc>
          <w:tcPr>
            <w:tcW w:w="2589" w:type="dxa"/>
          </w:tcPr>
          <w:p w14:paraId="333D4EDF">
            <w:pPr>
              <w:pStyle w:val="19"/>
              <w:rPr>
                <w:rFonts w:hint="eastAsia"/>
                <w:color w:val="auto"/>
                <w:highlight w:val="none"/>
              </w:rPr>
            </w:pPr>
          </w:p>
        </w:tc>
        <w:tc>
          <w:tcPr>
            <w:tcW w:w="2417" w:type="dxa"/>
          </w:tcPr>
          <w:p w14:paraId="520792C2">
            <w:pPr>
              <w:pStyle w:val="19"/>
              <w:rPr>
                <w:rFonts w:hint="eastAsia"/>
                <w:color w:val="auto"/>
                <w:highlight w:val="none"/>
              </w:rPr>
            </w:pPr>
          </w:p>
        </w:tc>
        <w:tc>
          <w:tcPr>
            <w:tcW w:w="1586" w:type="dxa"/>
          </w:tcPr>
          <w:p w14:paraId="0795FCD7">
            <w:pPr>
              <w:pStyle w:val="19"/>
              <w:rPr>
                <w:rFonts w:hint="eastAsia"/>
                <w:color w:val="auto"/>
                <w:highlight w:val="none"/>
              </w:rPr>
            </w:pPr>
          </w:p>
        </w:tc>
        <w:tc>
          <w:tcPr>
            <w:tcW w:w="1577" w:type="dxa"/>
          </w:tcPr>
          <w:p w14:paraId="201167D9">
            <w:pPr>
              <w:pStyle w:val="19"/>
              <w:rPr>
                <w:rFonts w:hint="eastAsia"/>
                <w:color w:val="auto"/>
                <w:highlight w:val="none"/>
              </w:rPr>
            </w:pPr>
          </w:p>
        </w:tc>
      </w:tr>
    </w:tbl>
    <w:p w14:paraId="143C94D3">
      <w:pPr>
        <w:pStyle w:val="19"/>
        <w:rPr>
          <w:rFonts w:hint="eastAsia"/>
          <w:color w:val="auto"/>
          <w:highlight w:val="none"/>
        </w:rPr>
      </w:pPr>
      <w:r>
        <w:rPr>
          <w:rFonts w:hint="eastAsia"/>
          <w:color w:val="auto"/>
          <w:highlight w:val="none"/>
        </w:rPr>
        <w:t>注：对于投标产品商务条款响应要求需有证明材料支持的，必须在投标文件中提供证明材料，并将该证明材料在投标文件中的索引（页码及条目号等）标注在“</w:t>
      </w:r>
      <w:r>
        <w:rPr>
          <w:rFonts w:hint="eastAsia"/>
          <w:bCs/>
          <w:color w:val="auto"/>
          <w:highlight w:val="none"/>
        </w:rPr>
        <w:t>商务条件支持资料索引</w:t>
      </w:r>
      <w:r>
        <w:rPr>
          <w:rFonts w:hint="eastAsia"/>
          <w:color w:val="auto"/>
          <w:highlight w:val="none"/>
        </w:rPr>
        <w:t>”中。</w:t>
      </w:r>
    </w:p>
    <w:p w14:paraId="73262EED">
      <w:pPr>
        <w:pStyle w:val="19"/>
        <w:rPr>
          <w:rFonts w:hint="eastAsia"/>
          <w:color w:val="auto"/>
          <w:highlight w:val="none"/>
        </w:rPr>
      </w:pPr>
    </w:p>
    <w:p w14:paraId="1AE336DB">
      <w:pPr>
        <w:widowControl/>
        <w:jc w:val="left"/>
        <w:rPr>
          <w:rFonts w:hint="eastAsia" w:ascii="宋体" w:hAnsi="宋体"/>
          <w:b/>
          <w:color w:val="auto"/>
          <w:kern w:val="0"/>
          <w:sz w:val="32"/>
          <w:szCs w:val="32"/>
          <w:highlight w:val="none"/>
        </w:rPr>
      </w:pPr>
      <w:bookmarkStart w:id="163" w:name="_Toc141099673"/>
      <w:bookmarkStart w:id="164" w:name="_Toc101004114"/>
      <w:bookmarkStart w:id="165" w:name="_Toc13665027"/>
      <w:bookmarkStart w:id="166" w:name="_Toc493600036"/>
      <w:bookmarkStart w:id="167" w:name="_Toc213141101"/>
      <w:r>
        <w:rPr>
          <w:rFonts w:ascii="宋体" w:hAnsi="宋体"/>
          <w:color w:val="auto"/>
          <w:sz w:val="32"/>
          <w:szCs w:val="32"/>
          <w:highlight w:val="none"/>
        </w:rPr>
        <w:br w:type="page"/>
      </w:r>
    </w:p>
    <w:p w14:paraId="69FA4422">
      <w:pPr>
        <w:pStyle w:val="5"/>
        <w:rPr>
          <w:color w:val="auto"/>
          <w:highlight w:val="none"/>
        </w:rPr>
      </w:pPr>
      <w:bookmarkStart w:id="168" w:name="_Toc5399"/>
      <w:r>
        <w:rPr>
          <w:rFonts w:hint="eastAsia"/>
          <w:color w:val="auto"/>
          <w:highlight w:val="none"/>
        </w:rPr>
        <w:t>（八）备品备件明细表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127"/>
        <w:gridCol w:w="1455"/>
        <w:gridCol w:w="1576"/>
        <w:gridCol w:w="1053"/>
        <w:gridCol w:w="1290"/>
        <w:gridCol w:w="1290"/>
      </w:tblGrid>
      <w:tr w14:paraId="2012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vAlign w:val="center"/>
          </w:tcPr>
          <w:p w14:paraId="4114BE3E">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111" w:type="pct"/>
            <w:vAlign w:val="center"/>
          </w:tcPr>
          <w:p w14:paraId="53D32DF5">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760" w:type="pct"/>
            <w:vAlign w:val="center"/>
          </w:tcPr>
          <w:p w14:paraId="6796FD3F">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型号和规格</w:t>
            </w:r>
          </w:p>
        </w:tc>
        <w:tc>
          <w:tcPr>
            <w:tcW w:w="823" w:type="pct"/>
            <w:vAlign w:val="center"/>
          </w:tcPr>
          <w:p w14:paraId="267E53A6">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生产制造商名称、国别</w:t>
            </w:r>
          </w:p>
        </w:tc>
        <w:tc>
          <w:tcPr>
            <w:tcW w:w="550" w:type="pct"/>
            <w:vAlign w:val="center"/>
          </w:tcPr>
          <w:p w14:paraId="575BC126">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674" w:type="pct"/>
            <w:vAlign w:val="center"/>
          </w:tcPr>
          <w:p w14:paraId="760DB155">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674" w:type="pct"/>
            <w:vAlign w:val="center"/>
          </w:tcPr>
          <w:p w14:paraId="0659049E">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4848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0ACB8617">
            <w:pPr>
              <w:spacing w:line="480" w:lineRule="exact"/>
              <w:rPr>
                <w:rFonts w:hint="eastAsia" w:ascii="宋体" w:hAnsi="宋体" w:cs="宋体"/>
                <w:color w:val="auto"/>
                <w:szCs w:val="21"/>
                <w:highlight w:val="none"/>
              </w:rPr>
            </w:pPr>
          </w:p>
        </w:tc>
        <w:tc>
          <w:tcPr>
            <w:tcW w:w="1111" w:type="pct"/>
          </w:tcPr>
          <w:p w14:paraId="3CE3CAFD">
            <w:pPr>
              <w:spacing w:line="480" w:lineRule="exact"/>
              <w:rPr>
                <w:rFonts w:hint="eastAsia" w:ascii="宋体" w:hAnsi="宋体" w:cs="宋体"/>
                <w:color w:val="auto"/>
                <w:szCs w:val="21"/>
                <w:highlight w:val="none"/>
              </w:rPr>
            </w:pPr>
          </w:p>
        </w:tc>
        <w:tc>
          <w:tcPr>
            <w:tcW w:w="760" w:type="pct"/>
          </w:tcPr>
          <w:p w14:paraId="09EF3351">
            <w:pPr>
              <w:spacing w:line="480" w:lineRule="exact"/>
              <w:rPr>
                <w:rFonts w:hint="eastAsia" w:ascii="宋体" w:hAnsi="宋体" w:cs="宋体"/>
                <w:color w:val="auto"/>
                <w:szCs w:val="21"/>
                <w:highlight w:val="none"/>
              </w:rPr>
            </w:pPr>
          </w:p>
        </w:tc>
        <w:tc>
          <w:tcPr>
            <w:tcW w:w="823" w:type="pct"/>
          </w:tcPr>
          <w:p w14:paraId="38905104">
            <w:pPr>
              <w:spacing w:line="480" w:lineRule="exact"/>
              <w:rPr>
                <w:rFonts w:hint="eastAsia" w:ascii="宋体" w:hAnsi="宋体" w:cs="宋体"/>
                <w:color w:val="auto"/>
                <w:szCs w:val="21"/>
                <w:highlight w:val="none"/>
              </w:rPr>
            </w:pPr>
          </w:p>
        </w:tc>
        <w:tc>
          <w:tcPr>
            <w:tcW w:w="550" w:type="pct"/>
          </w:tcPr>
          <w:p w14:paraId="1380CED6">
            <w:pPr>
              <w:spacing w:line="480" w:lineRule="exact"/>
              <w:rPr>
                <w:rFonts w:hint="eastAsia" w:ascii="宋体" w:hAnsi="宋体" w:cs="宋体"/>
                <w:color w:val="auto"/>
                <w:szCs w:val="21"/>
                <w:highlight w:val="none"/>
              </w:rPr>
            </w:pPr>
          </w:p>
        </w:tc>
        <w:tc>
          <w:tcPr>
            <w:tcW w:w="674" w:type="pct"/>
          </w:tcPr>
          <w:p w14:paraId="4F8BAD0D">
            <w:pPr>
              <w:spacing w:line="480" w:lineRule="exact"/>
              <w:rPr>
                <w:rFonts w:hint="eastAsia" w:ascii="宋体" w:hAnsi="宋体" w:cs="宋体"/>
                <w:color w:val="auto"/>
                <w:szCs w:val="21"/>
                <w:highlight w:val="none"/>
              </w:rPr>
            </w:pPr>
          </w:p>
        </w:tc>
        <w:tc>
          <w:tcPr>
            <w:tcW w:w="674" w:type="pct"/>
          </w:tcPr>
          <w:p w14:paraId="3C7AA63D">
            <w:pPr>
              <w:spacing w:line="480" w:lineRule="exact"/>
              <w:rPr>
                <w:rFonts w:hint="eastAsia" w:ascii="宋体" w:hAnsi="宋体" w:cs="宋体"/>
                <w:color w:val="auto"/>
                <w:szCs w:val="21"/>
                <w:highlight w:val="none"/>
              </w:rPr>
            </w:pPr>
          </w:p>
        </w:tc>
      </w:tr>
      <w:tr w14:paraId="2438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154593F5">
            <w:pPr>
              <w:spacing w:line="480" w:lineRule="exact"/>
              <w:rPr>
                <w:rFonts w:hint="eastAsia" w:ascii="宋体" w:hAnsi="宋体" w:cs="宋体"/>
                <w:color w:val="auto"/>
                <w:szCs w:val="21"/>
                <w:highlight w:val="none"/>
              </w:rPr>
            </w:pPr>
          </w:p>
        </w:tc>
        <w:tc>
          <w:tcPr>
            <w:tcW w:w="1111" w:type="pct"/>
          </w:tcPr>
          <w:p w14:paraId="2949C93D">
            <w:pPr>
              <w:spacing w:line="480" w:lineRule="exact"/>
              <w:rPr>
                <w:rFonts w:hint="eastAsia" w:ascii="宋体" w:hAnsi="宋体" w:cs="宋体"/>
                <w:color w:val="auto"/>
                <w:szCs w:val="21"/>
                <w:highlight w:val="none"/>
              </w:rPr>
            </w:pPr>
          </w:p>
        </w:tc>
        <w:tc>
          <w:tcPr>
            <w:tcW w:w="760" w:type="pct"/>
          </w:tcPr>
          <w:p w14:paraId="0EB9FB96">
            <w:pPr>
              <w:spacing w:line="480" w:lineRule="exact"/>
              <w:rPr>
                <w:rFonts w:hint="eastAsia" w:ascii="宋体" w:hAnsi="宋体" w:cs="宋体"/>
                <w:color w:val="auto"/>
                <w:szCs w:val="21"/>
                <w:highlight w:val="none"/>
              </w:rPr>
            </w:pPr>
          </w:p>
        </w:tc>
        <w:tc>
          <w:tcPr>
            <w:tcW w:w="823" w:type="pct"/>
          </w:tcPr>
          <w:p w14:paraId="0FF5557A">
            <w:pPr>
              <w:spacing w:line="480" w:lineRule="exact"/>
              <w:rPr>
                <w:rFonts w:hint="eastAsia" w:ascii="宋体" w:hAnsi="宋体" w:cs="宋体"/>
                <w:color w:val="auto"/>
                <w:szCs w:val="21"/>
                <w:highlight w:val="none"/>
              </w:rPr>
            </w:pPr>
          </w:p>
        </w:tc>
        <w:tc>
          <w:tcPr>
            <w:tcW w:w="550" w:type="pct"/>
          </w:tcPr>
          <w:p w14:paraId="51DCF4B3">
            <w:pPr>
              <w:spacing w:line="480" w:lineRule="exact"/>
              <w:rPr>
                <w:rFonts w:hint="eastAsia" w:ascii="宋体" w:hAnsi="宋体" w:cs="宋体"/>
                <w:color w:val="auto"/>
                <w:szCs w:val="21"/>
                <w:highlight w:val="none"/>
              </w:rPr>
            </w:pPr>
          </w:p>
        </w:tc>
        <w:tc>
          <w:tcPr>
            <w:tcW w:w="674" w:type="pct"/>
          </w:tcPr>
          <w:p w14:paraId="24A44687">
            <w:pPr>
              <w:spacing w:line="480" w:lineRule="exact"/>
              <w:rPr>
                <w:rFonts w:hint="eastAsia" w:ascii="宋体" w:hAnsi="宋体" w:cs="宋体"/>
                <w:color w:val="auto"/>
                <w:szCs w:val="21"/>
                <w:highlight w:val="none"/>
              </w:rPr>
            </w:pPr>
          </w:p>
        </w:tc>
        <w:tc>
          <w:tcPr>
            <w:tcW w:w="674" w:type="pct"/>
          </w:tcPr>
          <w:p w14:paraId="4D32782B">
            <w:pPr>
              <w:spacing w:line="480" w:lineRule="exact"/>
              <w:rPr>
                <w:rFonts w:hint="eastAsia" w:ascii="宋体" w:hAnsi="宋体" w:cs="宋体"/>
                <w:color w:val="auto"/>
                <w:szCs w:val="21"/>
                <w:highlight w:val="none"/>
              </w:rPr>
            </w:pPr>
          </w:p>
        </w:tc>
      </w:tr>
      <w:tr w14:paraId="70ED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346703F5">
            <w:pPr>
              <w:spacing w:line="480" w:lineRule="exact"/>
              <w:rPr>
                <w:rFonts w:hint="eastAsia" w:ascii="宋体" w:hAnsi="宋体" w:cs="宋体"/>
                <w:color w:val="auto"/>
                <w:szCs w:val="21"/>
                <w:highlight w:val="none"/>
              </w:rPr>
            </w:pPr>
          </w:p>
        </w:tc>
        <w:tc>
          <w:tcPr>
            <w:tcW w:w="1111" w:type="pct"/>
          </w:tcPr>
          <w:p w14:paraId="6F0F8D04">
            <w:pPr>
              <w:spacing w:line="480" w:lineRule="exact"/>
              <w:rPr>
                <w:rFonts w:hint="eastAsia" w:ascii="宋体" w:hAnsi="宋体" w:cs="宋体"/>
                <w:color w:val="auto"/>
                <w:szCs w:val="21"/>
                <w:highlight w:val="none"/>
              </w:rPr>
            </w:pPr>
          </w:p>
        </w:tc>
        <w:tc>
          <w:tcPr>
            <w:tcW w:w="760" w:type="pct"/>
          </w:tcPr>
          <w:p w14:paraId="42A1C970">
            <w:pPr>
              <w:spacing w:line="480" w:lineRule="exact"/>
              <w:rPr>
                <w:rFonts w:hint="eastAsia" w:ascii="宋体" w:hAnsi="宋体" w:cs="宋体"/>
                <w:color w:val="auto"/>
                <w:szCs w:val="21"/>
                <w:highlight w:val="none"/>
              </w:rPr>
            </w:pPr>
          </w:p>
        </w:tc>
        <w:tc>
          <w:tcPr>
            <w:tcW w:w="823" w:type="pct"/>
          </w:tcPr>
          <w:p w14:paraId="53B9B89C">
            <w:pPr>
              <w:spacing w:line="480" w:lineRule="exact"/>
              <w:rPr>
                <w:rFonts w:hint="eastAsia" w:ascii="宋体" w:hAnsi="宋体" w:cs="宋体"/>
                <w:color w:val="auto"/>
                <w:szCs w:val="21"/>
                <w:highlight w:val="none"/>
              </w:rPr>
            </w:pPr>
          </w:p>
        </w:tc>
        <w:tc>
          <w:tcPr>
            <w:tcW w:w="550" w:type="pct"/>
          </w:tcPr>
          <w:p w14:paraId="16EC1A3B">
            <w:pPr>
              <w:spacing w:line="480" w:lineRule="exact"/>
              <w:rPr>
                <w:rFonts w:hint="eastAsia" w:ascii="宋体" w:hAnsi="宋体" w:cs="宋体"/>
                <w:color w:val="auto"/>
                <w:szCs w:val="21"/>
                <w:highlight w:val="none"/>
              </w:rPr>
            </w:pPr>
          </w:p>
        </w:tc>
        <w:tc>
          <w:tcPr>
            <w:tcW w:w="674" w:type="pct"/>
          </w:tcPr>
          <w:p w14:paraId="7AB70FF0">
            <w:pPr>
              <w:spacing w:line="480" w:lineRule="exact"/>
              <w:rPr>
                <w:rFonts w:hint="eastAsia" w:ascii="宋体" w:hAnsi="宋体" w:cs="宋体"/>
                <w:color w:val="auto"/>
                <w:szCs w:val="21"/>
                <w:highlight w:val="none"/>
              </w:rPr>
            </w:pPr>
          </w:p>
        </w:tc>
        <w:tc>
          <w:tcPr>
            <w:tcW w:w="674" w:type="pct"/>
          </w:tcPr>
          <w:p w14:paraId="5BEB6777">
            <w:pPr>
              <w:spacing w:line="480" w:lineRule="exact"/>
              <w:rPr>
                <w:rFonts w:hint="eastAsia" w:ascii="宋体" w:hAnsi="宋体" w:cs="宋体"/>
                <w:color w:val="auto"/>
                <w:szCs w:val="21"/>
                <w:highlight w:val="none"/>
              </w:rPr>
            </w:pPr>
          </w:p>
        </w:tc>
      </w:tr>
    </w:tbl>
    <w:p w14:paraId="5718C7A7">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6CB037CB">
      <w:pPr>
        <w:spacing w:line="480" w:lineRule="exact"/>
        <w:rPr>
          <w:rFonts w:hint="eastAsia" w:ascii="宋体" w:hAnsi="宋体" w:cs="宋体"/>
          <w:b/>
          <w:color w:val="auto"/>
          <w:szCs w:val="21"/>
          <w:highlight w:val="none"/>
        </w:rPr>
      </w:pPr>
      <w:r>
        <w:rPr>
          <w:rFonts w:hint="eastAsia" w:ascii="宋体" w:hAnsi="宋体" w:cs="宋体"/>
          <w:b/>
          <w:color w:val="auto"/>
          <w:szCs w:val="21"/>
          <w:highlight w:val="none"/>
        </w:rPr>
        <w:t>1.本次招标要求提供所需的备品备件。设备验收开始使用后至质保期内正常、连续地使用所必须的备品备件均须填报，费用计入投标报价中，若因投标人未全部填报，而在项目执行过程又使用到的备品备件，须由投标人提供，由此产生的费用由中标人自行承担。</w:t>
      </w:r>
    </w:p>
    <w:p w14:paraId="3F5956B0">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2.投标人可根据实际情况拓展本表。</w:t>
      </w:r>
    </w:p>
    <w:p w14:paraId="615F8629">
      <w:pPr>
        <w:rPr>
          <w:color w:val="auto"/>
          <w:highlight w:val="none"/>
        </w:rPr>
      </w:pPr>
    </w:p>
    <w:p w14:paraId="28AAC623">
      <w:pPr>
        <w:widowControl/>
        <w:jc w:val="left"/>
        <w:rPr>
          <w:rFonts w:eastAsia="黑体"/>
          <w:b/>
          <w:color w:val="auto"/>
          <w:kern w:val="0"/>
          <w:sz w:val="28"/>
          <w:szCs w:val="20"/>
          <w:highlight w:val="none"/>
        </w:rPr>
      </w:pPr>
      <w:r>
        <w:rPr>
          <w:color w:val="auto"/>
          <w:highlight w:val="none"/>
        </w:rPr>
        <w:br w:type="page"/>
      </w:r>
    </w:p>
    <w:p w14:paraId="5CAE3C99">
      <w:pPr>
        <w:pStyle w:val="5"/>
        <w:rPr>
          <w:color w:val="auto"/>
          <w:highlight w:val="none"/>
        </w:rPr>
      </w:pPr>
      <w:r>
        <w:rPr>
          <w:rFonts w:hint="eastAsia"/>
          <w:color w:val="auto"/>
          <w:highlight w:val="none"/>
        </w:rPr>
        <w:t>（九）售后服务</w:t>
      </w:r>
      <w:bookmarkEnd w:id="163"/>
      <w:bookmarkEnd w:id="164"/>
      <w:bookmarkEnd w:id="165"/>
      <w:bookmarkEnd w:id="166"/>
      <w:bookmarkEnd w:id="167"/>
      <w:bookmarkEnd w:id="168"/>
    </w:p>
    <w:p w14:paraId="2357B1B2">
      <w:pPr>
        <w:rPr>
          <w:rFonts w:hint="eastAsia" w:ascii="宋体" w:hAnsi="宋体"/>
          <w:color w:val="auto"/>
          <w:highlight w:val="none"/>
        </w:rPr>
      </w:pPr>
    </w:p>
    <w:p w14:paraId="7648B3A8">
      <w:pPr>
        <w:pStyle w:val="19"/>
        <w:rPr>
          <w:rFonts w:hint="eastAsia"/>
          <w:color w:val="auto"/>
          <w:highlight w:val="none"/>
        </w:rPr>
      </w:pPr>
      <w:r>
        <w:rPr>
          <w:rFonts w:hint="eastAsia"/>
          <w:color w:val="auto"/>
          <w:highlight w:val="none"/>
        </w:rPr>
        <w:t>包括但不限于：</w:t>
      </w:r>
    </w:p>
    <w:p w14:paraId="5E21247F">
      <w:pPr>
        <w:pStyle w:val="19"/>
        <w:rPr>
          <w:rFonts w:hint="eastAsia"/>
          <w:color w:val="auto"/>
          <w:highlight w:val="none"/>
        </w:rPr>
      </w:pPr>
      <w:r>
        <w:rPr>
          <w:rFonts w:hint="eastAsia"/>
          <w:color w:val="auto"/>
          <w:highlight w:val="none"/>
        </w:rPr>
        <w:t>1、交货计划及保障措施；</w:t>
      </w:r>
    </w:p>
    <w:p w14:paraId="38820EB4">
      <w:pPr>
        <w:pStyle w:val="19"/>
        <w:rPr>
          <w:rFonts w:hint="eastAsia"/>
          <w:color w:val="auto"/>
          <w:highlight w:val="none"/>
        </w:rPr>
      </w:pPr>
      <w:r>
        <w:rPr>
          <w:rFonts w:hint="eastAsia"/>
          <w:color w:val="auto"/>
          <w:highlight w:val="none"/>
        </w:rPr>
        <w:t>2、质量保证措施；</w:t>
      </w:r>
    </w:p>
    <w:p w14:paraId="707ADED0">
      <w:pPr>
        <w:pStyle w:val="19"/>
        <w:rPr>
          <w:rFonts w:hint="eastAsia"/>
          <w:color w:val="auto"/>
          <w:highlight w:val="none"/>
        </w:rPr>
      </w:pPr>
      <w:r>
        <w:rPr>
          <w:color w:val="auto"/>
          <w:highlight w:val="none"/>
        </w:rPr>
        <w:t>3</w:t>
      </w:r>
      <w:r>
        <w:rPr>
          <w:rFonts w:hint="eastAsia"/>
          <w:color w:val="auto"/>
          <w:highlight w:val="none"/>
        </w:rPr>
        <w:t>、售后服务响应时间、售后服务体系及保障措施；</w:t>
      </w:r>
    </w:p>
    <w:p w14:paraId="34C2C015">
      <w:pPr>
        <w:pStyle w:val="19"/>
        <w:rPr>
          <w:rFonts w:hint="eastAsia"/>
          <w:color w:val="auto"/>
          <w:highlight w:val="none"/>
        </w:rPr>
      </w:pPr>
      <w:r>
        <w:rPr>
          <w:color w:val="auto"/>
          <w:highlight w:val="none"/>
        </w:rPr>
        <w:t>4</w:t>
      </w:r>
      <w:r>
        <w:rPr>
          <w:rFonts w:hint="eastAsia"/>
          <w:color w:val="auto"/>
          <w:highlight w:val="none"/>
        </w:rPr>
        <w:t>、其他。</w:t>
      </w:r>
    </w:p>
    <w:p w14:paraId="2E4FBC79">
      <w:pPr>
        <w:rPr>
          <w:color w:val="auto"/>
          <w:kern w:val="0"/>
          <w:highlight w:val="none"/>
        </w:rPr>
      </w:pPr>
      <w:r>
        <w:rPr>
          <w:b/>
          <w:color w:val="auto"/>
          <w:sz w:val="28"/>
          <w:szCs w:val="28"/>
          <w:highlight w:val="none"/>
        </w:rPr>
        <w:t xml:space="preserve"> </w:t>
      </w:r>
    </w:p>
    <w:p w14:paraId="43FE3570">
      <w:pPr>
        <w:pStyle w:val="5"/>
        <w:rPr>
          <w:color w:val="auto"/>
          <w:highlight w:val="none"/>
        </w:rPr>
      </w:pPr>
      <w:bookmarkStart w:id="169" w:name="_Toc13665030"/>
      <w:bookmarkStart w:id="170" w:name="_Toc101004117"/>
      <w:bookmarkStart w:id="171" w:name="_Toc141099677"/>
      <w:bookmarkStart w:id="172" w:name="_Toc507408991"/>
      <w:bookmarkStart w:id="173" w:name="_Toc18628"/>
      <w:bookmarkStart w:id="174" w:name="_Toc493600039"/>
      <w:r>
        <w:rPr>
          <w:rFonts w:hint="eastAsia"/>
          <w:color w:val="auto"/>
          <w:highlight w:val="none"/>
        </w:rPr>
        <w:br w:type="page"/>
      </w:r>
      <w:r>
        <w:rPr>
          <w:rFonts w:hint="eastAsia"/>
          <w:color w:val="auto"/>
          <w:highlight w:val="none"/>
        </w:rPr>
        <w:t>（十）</w:t>
      </w:r>
      <w:r>
        <w:rPr>
          <w:rFonts w:hint="eastAsia" w:ascii="宋体" w:hAnsi="宋体" w:cs="宋体"/>
          <w:color w:val="auto"/>
          <w:szCs w:val="21"/>
          <w:highlight w:val="none"/>
        </w:rPr>
        <w:t>培训方案</w:t>
      </w:r>
    </w:p>
    <w:p w14:paraId="0A54EE78">
      <w:pPr>
        <w:rPr>
          <w:rFonts w:hint="eastAsia" w:ascii="宋体" w:hAnsi="宋体"/>
          <w:color w:val="auto"/>
          <w:highlight w:val="none"/>
        </w:rPr>
      </w:pPr>
    </w:p>
    <w:p w14:paraId="774D30D5">
      <w:pPr>
        <w:pStyle w:val="19"/>
        <w:jc w:val="center"/>
        <w:rPr>
          <w:rFonts w:hint="eastAsia"/>
          <w:color w:val="auto"/>
          <w:highlight w:val="none"/>
        </w:rPr>
      </w:pPr>
      <w:r>
        <w:rPr>
          <w:rFonts w:hint="eastAsia"/>
          <w:color w:val="auto"/>
          <w:highlight w:val="none"/>
        </w:rPr>
        <w:t>（格式自拟）</w:t>
      </w:r>
    </w:p>
    <w:p w14:paraId="675740E8">
      <w:pPr>
        <w:rPr>
          <w:color w:val="auto"/>
          <w:highlight w:val="none"/>
        </w:rPr>
      </w:pPr>
    </w:p>
    <w:p w14:paraId="1961E2EB">
      <w:pPr>
        <w:rPr>
          <w:color w:val="auto"/>
          <w:highlight w:val="none"/>
        </w:rPr>
      </w:pPr>
      <w:r>
        <w:rPr>
          <w:rFonts w:hint="eastAsia"/>
          <w:color w:val="auto"/>
          <w:highlight w:val="none"/>
        </w:rPr>
        <w:br w:type="page"/>
      </w:r>
    </w:p>
    <w:p w14:paraId="5B4B14A8">
      <w:pPr>
        <w:pStyle w:val="5"/>
        <w:rPr>
          <w:color w:val="auto"/>
          <w:highlight w:val="none"/>
        </w:rPr>
      </w:pPr>
      <w:r>
        <w:rPr>
          <w:rFonts w:hint="eastAsia"/>
          <w:color w:val="auto"/>
          <w:highlight w:val="none"/>
        </w:rPr>
        <w:t>（十一）</w:t>
      </w:r>
      <w:bookmarkStart w:id="175" w:name="_Toc120277435"/>
      <w:r>
        <w:rPr>
          <w:rFonts w:hint="eastAsia"/>
          <w:color w:val="auto"/>
          <w:highlight w:val="none"/>
        </w:rPr>
        <w:t>配置清单</w:t>
      </w:r>
      <w:bookmarkEnd w:id="175"/>
    </w:p>
    <w:p w14:paraId="42009F82">
      <w:pPr>
        <w:jc w:val="center"/>
        <w:rPr>
          <w:color w:val="auto"/>
          <w:highlight w:val="none"/>
        </w:rPr>
      </w:pPr>
      <w:r>
        <w:rPr>
          <w:rFonts w:hint="eastAsia"/>
          <w:color w:val="auto"/>
          <w:highlight w:val="none"/>
        </w:rPr>
        <w:t>根据招标文件第五章《项目需求及技术要求》，列出投标产品详细配置清单，必须包括在《技术规格偏离表》、《商务条款偏离表》中响应提供的所有软件产品、硬件产品、第三方附属设备及相关服务。配置清单必须包含产品名称、制造商名称、规格型号及数量。格式由投标人自拟。</w:t>
      </w:r>
    </w:p>
    <w:p w14:paraId="2CF40C7E">
      <w:pPr>
        <w:pStyle w:val="5"/>
        <w:rPr>
          <w:color w:val="auto"/>
          <w:highlight w:val="none"/>
        </w:rPr>
      </w:pPr>
      <w:r>
        <w:rPr>
          <w:rFonts w:hint="eastAsia"/>
          <w:color w:val="auto"/>
          <w:highlight w:val="none"/>
        </w:rPr>
        <w:br w:type="page"/>
      </w:r>
      <w:r>
        <w:rPr>
          <w:rFonts w:hint="eastAsia"/>
          <w:color w:val="auto"/>
          <w:highlight w:val="none"/>
        </w:rPr>
        <w:t>（十二）投标保证金缴纳凭证</w:t>
      </w:r>
    </w:p>
    <w:p w14:paraId="298FF9DE">
      <w:pPr>
        <w:rPr>
          <w:color w:val="auto"/>
          <w:highlight w:val="none"/>
        </w:rPr>
      </w:pPr>
    </w:p>
    <w:p w14:paraId="1371870D">
      <w:pPr>
        <w:rPr>
          <w:color w:val="auto"/>
          <w:highlight w:val="none"/>
        </w:rPr>
      </w:pPr>
      <w:r>
        <w:rPr>
          <w:rFonts w:hint="eastAsia"/>
          <w:color w:val="auto"/>
          <w:highlight w:val="none"/>
        </w:rPr>
        <w:br w:type="page"/>
      </w:r>
    </w:p>
    <w:p w14:paraId="0556C98E">
      <w:pPr>
        <w:pStyle w:val="5"/>
        <w:rPr>
          <w:color w:val="auto"/>
          <w:highlight w:val="none"/>
        </w:rPr>
      </w:pPr>
      <w:r>
        <w:rPr>
          <w:rFonts w:hint="eastAsia"/>
          <w:color w:val="auto"/>
          <w:highlight w:val="none"/>
        </w:rPr>
        <w:t>（十三）</w:t>
      </w:r>
      <w:r>
        <w:rPr>
          <w:color w:val="auto"/>
          <w:highlight w:val="none"/>
        </w:rPr>
        <w:t>构成投标文件</w:t>
      </w:r>
      <w:r>
        <w:rPr>
          <w:rFonts w:hint="eastAsia"/>
          <w:color w:val="auto"/>
          <w:highlight w:val="none"/>
        </w:rPr>
        <w:t>商务</w:t>
      </w:r>
      <w:r>
        <w:rPr>
          <w:color w:val="auto"/>
          <w:highlight w:val="none"/>
        </w:rPr>
        <w:t>部分的其</w:t>
      </w:r>
      <w:r>
        <w:rPr>
          <w:rFonts w:hint="eastAsia"/>
          <w:color w:val="auto"/>
          <w:highlight w:val="none"/>
        </w:rPr>
        <w:t>他</w:t>
      </w:r>
      <w:r>
        <w:rPr>
          <w:color w:val="auto"/>
          <w:highlight w:val="none"/>
        </w:rPr>
        <w:t>资料</w:t>
      </w:r>
      <w:bookmarkEnd w:id="169"/>
      <w:bookmarkEnd w:id="170"/>
      <w:bookmarkEnd w:id="171"/>
      <w:bookmarkEnd w:id="172"/>
      <w:bookmarkEnd w:id="173"/>
      <w:bookmarkEnd w:id="174"/>
    </w:p>
    <w:p w14:paraId="6D7EF92A">
      <w:pPr>
        <w:pStyle w:val="19"/>
        <w:rPr>
          <w:rFonts w:hint="eastAsia"/>
          <w:color w:val="auto"/>
          <w:highlight w:val="none"/>
        </w:rPr>
      </w:pPr>
    </w:p>
    <w:p w14:paraId="3B29C362">
      <w:pPr>
        <w:pStyle w:val="5"/>
        <w:rPr>
          <w:color w:val="auto"/>
          <w:highlight w:val="none"/>
        </w:rPr>
      </w:pPr>
      <w:r>
        <w:rPr>
          <w:rFonts w:hint="eastAsia"/>
          <w:color w:val="auto"/>
          <w:sz w:val="24"/>
          <w:szCs w:val="24"/>
          <w:highlight w:val="none"/>
        </w:rPr>
        <w:br w:type="page"/>
      </w:r>
      <w:bookmarkStart w:id="176" w:name="_Toc141099678"/>
      <w:bookmarkStart w:id="177" w:name="_Toc17545"/>
      <w:bookmarkStart w:id="178" w:name="_Toc101004118"/>
      <w:bookmarkStart w:id="179" w:name="_Toc13665031"/>
      <w:r>
        <w:rPr>
          <w:rFonts w:hint="eastAsia"/>
          <w:color w:val="auto"/>
          <w:highlight w:val="none"/>
        </w:rPr>
        <w:t>四、技术部分</w:t>
      </w:r>
      <w:bookmarkEnd w:id="176"/>
      <w:bookmarkEnd w:id="177"/>
      <w:bookmarkEnd w:id="178"/>
      <w:bookmarkEnd w:id="179"/>
    </w:p>
    <w:p w14:paraId="4C395BA5">
      <w:pPr>
        <w:pStyle w:val="5"/>
        <w:rPr>
          <w:color w:val="auto"/>
          <w:highlight w:val="none"/>
        </w:rPr>
      </w:pPr>
      <w:bookmarkStart w:id="180" w:name="_Toc13665032"/>
      <w:bookmarkStart w:id="181" w:name="_Toc10904"/>
      <w:bookmarkStart w:id="182" w:name="_Toc141099679"/>
      <w:bookmarkStart w:id="183" w:name="_Toc101004119"/>
      <w:bookmarkStart w:id="184" w:name="_Toc213141099"/>
      <w:bookmarkStart w:id="185" w:name="_Toc493600041"/>
      <w:r>
        <w:rPr>
          <w:rFonts w:hint="eastAsia"/>
          <w:color w:val="auto"/>
          <w:highlight w:val="none"/>
        </w:rPr>
        <w:t>（一）技术规格偏离表</w:t>
      </w:r>
      <w:bookmarkEnd w:id="180"/>
      <w:bookmarkEnd w:id="181"/>
      <w:bookmarkEnd w:id="182"/>
      <w:bookmarkEnd w:id="183"/>
      <w:bookmarkEnd w:id="184"/>
      <w:bookmarkEnd w:id="185"/>
    </w:p>
    <w:p w14:paraId="4F7DA900">
      <w:pPr>
        <w:pStyle w:val="19"/>
        <w:rPr>
          <w:rFonts w:hint="eastAsia"/>
          <w:color w:val="auto"/>
          <w:highlight w:val="none"/>
        </w:rPr>
      </w:pPr>
      <w:r>
        <w:rPr>
          <w:rFonts w:hint="eastAsia"/>
          <w:color w:val="auto"/>
          <w:highlight w:val="none"/>
        </w:rPr>
        <w:t>请按投标产品的实际技术参数，逐条对应招标文件的第五章“</w:t>
      </w:r>
      <w:r>
        <w:rPr>
          <w:rFonts w:hint="eastAsia"/>
          <w:b/>
          <w:color w:val="auto"/>
          <w:highlight w:val="none"/>
        </w:rPr>
        <w:t>项目需求及技术要求</w:t>
      </w:r>
      <w:r>
        <w:rPr>
          <w:rFonts w:hint="eastAsia"/>
          <w:color w:val="auto"/>
          <w:highlight w:val="none"/>
        </w:rPr>
        <w:t>”中要求的技术规范认真填写该表。</w:t>
      </w:r>
    </w:p>
    <w:p w14:paraId="22C93999">
      <w:pPr>
        <w:pStyle w:val="19"/>
        <w:rPr>
          <w:rFonts w:hint="eastAsia"/>
          <w:b/>
          <w:color w:val="auto"/>
          <w:highlight w:val="none"/>
        </w:rPr>
      </w:pPr>
      <w:r>
        <w:rPr>
          <w:rFonts w:hint="eastAsia"/>
          <w:b/>
          <w:color w:val="auto"/>
          <w:highlight w:val="none"/>
        </w:rPr>
        <w:t>项目名称：</w:t>
      </w:r>
      <w:r>
        <w:rPr>
          <w:rFonts w:hint="eastAsia"/>
          <w:b/>
          <w:color w:val="auto"/>
          <w:highlight w:val="none"/>
          <w:lang w:eastAsia="zh-CN"/>
        </w:rPr>
        <w:t>怒江州中医医院心肺康复设备采购项目</w:t>
      </w:r>
      <w:r>
        <w:rPr>
          <w:rFonts w:hint="eastAsia"/>
          <w:b/>
          <w:color w:val="auto"/>
          <w:highlight w:val="none"/>
        </w:rPr>
        <w:t xml:space="preserve">          </w:t>
      </w:r>
    </w:p>
    <w:p w14:paraId="1CB358D5">
      <w:pPr>
        <w:pStyle w:val="19"/>
        <w:rPr>
          <w:rFonts w:hint="eastAsia" w:eastAsia="宋体"/>
          <w:b/>
          <w:color w:val="auto"/>
          <w:highlight w:val="none"/>
          <w:lang w:eastAsia="zh-CN"/>
        </w:rPr>
      </w:pPr>
      <w:r>
        <w:rPr>
          <w:rFonts w:hint="eastAsia"/>
          <w:b/>
          <w:color w:val="auto"/>
          <w:highlight w:val="none"/>
        </w:rPr>
        <w:t>项目编号：</w:t>
      </w:r>
      <w:r>
        <w:rPr>
          <w:rFonts w:hint="eastAsia"/>
          <w:b/>
          <w:color w:val="auto"/>
          <w:highlight w:val="none"/>
          <w:lang w:eastAsia="zh-CN"/>
        </w:rPr>
        <w:t xml:space="preserve"> NJZC2025-G1-00360-YZGF-1037</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14:paraId="53F8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1008" w:type="dxa"/>
            <w:vAlign w:val="center"/>
          </w:tcPr>
          <w:p w14:paraId="2763AA56">
            <w:pPr>
              <w:jc w:val="center"/>
              <w:rPr>
                <w:rFonts w:hint="eastAsia" w:ascii="宋体" w:hAnsi="宋体"/>
                <w:b/>
                <w:color w:val="auto"/>
                <w:sz w:val="24"/>
                <w:highlight w:val="none"/>
              </w:rPr>
            </w:pPr>
            <w:r>
              <w:rPr>
                <w:rFonts w:hint="eastAsia" w:ascii="宋体" w:hAnsi="宋体"/>
                <w:b/>
                <w:color w:val="auto"/>
                <w:sz w:val="24"/>
                <w:highlight w:val="none"/>
              </w:rPr>
              <w:t>产品名称</w:t>
            </w:r>
          </w:p>
        </w:tc>
        <w:tc>
          <w:tcPr>
            <w:tcW w:w="1080" w:type="dxa"/>
            <w:vAlign w:val="center"/>
          </w:tcPr>
          <w:p w14:paraId="358A7F9B">
            <w:pPr>
              <w:jc w:val="center"/>
              <w:rPr>
                <w:rFonts w:hint="eastAsia" w:ascii="宋体" w:hAnsi="宋体"/>
                <w:b/>
                <w:color w:val="auto"/>
                <w:sz w:val="24"/>
                <w:highlight w:val="none"/>
              </w:rPr>
            </w:pPr>
            <w:r>
              <w:rPr>
                <w:rFonts w:hint="eastAsia" w:ascii="宋体" w:hAnsi="宋体"/>
                <w:b/>
                <w:color w:val="auto"/>
                <w:sz w:val="24"/>
                <w:highlight w:val="none"/>
              </w:rPr>
              <w:t>序号</w:t>
            </w:r>
          </w:p>
        </w:tc>
        <w:tc>
          <w:tcPr>
            <w:tcW w:w="2340" w:type="dxa"/>
            <w:vAlign w:val="center"/>
          </w:tcPr>
          <w:p w14:paraId="1D4E3966">
            <w:pPr>
              <w:jc w:val="center"/>
              <w:rPr>
                <w:rFonts w:hint="eastAsia" w:ascii="宋体" w:hAnsi="宋体"/>
                <w:b/>
                <w:color w:val="auto"/>
                <w:sz w:val="24"/>
                <w:highlight w:val="none"/>
              </w:rPr>
            </w:pPr>
            <w:r>
              <w:rPr>
                <w:rFonts w:hint="eastAsia" w:ascii="宋体" w:hAnsi="宋体"/>
                <w:b/>
                <w:color w:val="auto"/>
                <w:sz w:val="24"/>
                <w:highlight w:val="none"/>
              </w:rPr>
              <w:t>招标文件技术规范、要求</w:t>
            </w:r>
          </w:p>
        </w:tc>
        <w:tc>
          <w:tcPr>
            <w:tcW w:w="2484" w:type="dxa"/>
            <w:vAlign w:val="center"/>
          </w:tcPr>
          <w:p w14:paraId="5CFCBA98">
            <w:pPr>
              <w:jc w:val="center"/>
              <w:rPr>
                <w:rFonts w:hint="eastAsia" w:ascii="宋体" w:hAnsi="宋体"/>
                <w:b/>
                <w:color w:val="auto"/>
                <w:sz w:val="24"/>
                <w:highlight w:val="none"/>
              </w:rPr>
            </w:pPr>
            <w:r>
              <w:rPr>
                <w:rFonts w:ascii="宋体" w:hAnsi="宋体"/>
                <w:b/>
                <w:color w:val="auto"/>
                <w:sz w:val="24"/>
                <w:highlight w:val="none"/>
              </w:rPr>
              <w:t>投标品牌、型号、技术参数及配置</w:t>
            </w:r>
          </w:p>
        </w:tc>
        <w:tc>
          <w:tcPr>
            <w:tcW w:w="1260" w:type="dxa"/>
            <w:vAlign w:val="center"/>
          </w:tcPr>
          <w:p w14:paraId="668F506D">
            <w:pPr>
              <w:jc w:val="center"/>
              <w:rPr>
                <w:rFonts w:hint="eastAsia" w:ascii="宋体" w:hAnsi="宋体"/>
                <w:b/>
                <w:color w:val="auto"/>
                <w:sz w:val="24"/>
                <w:highlight w:val="none"/>
              </w:rPr>
            </w:pPr>
            <w:r>
              <w:rPr>
                <w:rFonts w:hint="eastAsia" w:ascii="宋体" w:hAnsi="宋体"/>
                <w:b/>
                <w:color w:val="auto"/>
                <w:sz w:val="24"/>
                <w:highlight w:val="none"/>
              </w:rPr>
              <w:t>偏离</w:t>
            </w:r>
          </w:p>
        </w:tc>
        <w:tc>
          <w:tcPr>
            <w:tcW w:w="1800" w:type="dxa"/>
            <w:vAlign w:val="center"/>
          </w:tcPr>
          <w:p w14:paraId="230D656D">
            <w:pPr>
              <w:ind w:right="71" w:rightChars="34"/>
              <w:jc w:val="center"/>
              <w:rPr>
                <w:rFonts w:hint="eastAsia" w:ascii="宋体" w:hAnsi="宋体"/>
                <w:b/>
                <w:color w:val="auto"/>
                <w:sz w:val="24"/>
                <w:highlight w:val="none"/>
              </w:rPr>
            </w:pPr>
            <w:r>
              <w:rPr>
                <w:rFonts w:hint="eastAsia" w:ascii="宋体" w:hAnsi="宋体"/>
                <w:b/>
                <w:bCs/>
                <w:color w:val="auto"/>
                <w:sz w:val="24"/>
                <w:highlight w:val="none"/>
              </w:rPr>
              <w:t>技术支持资料索引（页码及条目号等）</w:t>
            </w:r>
          </w:p>
        </w:tc>
      </w:tr>
      <w:tr w14:paraId="0B6F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1008" w:type="dxa"/>
            <w:vAlign w:val="center"/>
          </w:tcPr>
          <w:p w14:paraId="0D14C262">
            <w:pPr>
              <w:spacing w:line="360" w:lineRule="auto"/>
              <w:jc w:val="center"/>
              <w:rPr>
                <w:rFonts w:hint="eastAsia" w:ascii="宋体" w:hAnsi="宋体"/>
                <w:color w:val="auto"/>
                <w:sz w:val="24"/>
                <w:highlight w:val="none"/>
              </w:rPr>
            </w:pPr>
          </w:p>
        </w:tc>
        <w:tc>
          <w:tcPr>
            <w:tcW w:w="1080" w:type="dxa"/>
            <w:vAlign w:val="center"/>
          </w:tcPr>
          <w:p w14:paraId="7071CF96">
            <w:pPr>
              <w:spacing w:line="360" w:lineRule="auto"/>
              <w:jc w:val="center"/>
              <w:rPr>
                <w:rFonts w:hint="eastAsia" w:ascii="宋体" w:hAnsi="宋体"/>
                <w:color w:val="auto"/>
                <w:sz w:val="24"/>
                <w:highlight w:val="none"/>
              </w:rPr>
            </w:pPr>
          </w:p>
        </w:tc>
        <w:tc>
          <w:tcPr>
            <w:tcW w:w="2340" w:type="dxa"/>
            <w:vAlign w:val="center"/>
          </w:tcPr>
          <w:p w14:paraId="5935B137">
            <w:pPr>
              <w:spacing w:line="360" w:lineRule="auto"/>
              <w:jc w:val="center"/>
              <w:rPr>
                <w:rFonts w:hint="eastAsia" w:ascii="宋体" w:hAnsi="宋体"/>
                <w:color w:val="auto"/>
                <w:sz w:val="24"/>
                <w:highlight w:val="none"/>
              </w:rPr>
            </w:pPr>
          </w:p>
        </w:tc>
        <w:tc>
          <w:tcPr>
            <w:tcW w:w="2484" w:type="dxa"/>
            <w:vAlign w:val="center"/>
          </w:tcPr>
          <w:p w14:paraId="7BDC7167">
            <w:pPr>
              <w:spacing w:line="360" w:lineRule="auto"/>
              <w:jc w:val="center"/>
              <w:rPr>
                <w:rFonts w:hint="eastAsia" w:ascii="宋体" w:hAnsi="宋体"/>
                <w:color w:val="auto"/>
                <w:sz w:val="24"/>
                <w:highlight w:val="none"/>
              </w:rPr>
            </w:pPr>
          </w:p>
        </w:tc>
        <w:tc>
          <w:tcPr>
            <w:tcW w:w="1260" w:type="dxa"/>
          </w:tcPr>
          <w:p w14:paraId="52F7883C">
            <w:pPr>
              <w:spacing w:line="360" w:lineRule="auto"/>
              <w:jc w:val="center"/>
              <w:rPr>
                <w:rFonts w:hint="eastAsia" w:ascii="宋体" w:hAnsi="宋体"/>
                <w:color w:val="auto"/>
                <w:sz w:val="24"/>
                <w:highlight w:val="none"/>
              </w:rPr>
            </w:pPr>
          </w:p>
        </w:tc>
        <w:tc>
          <w:tcPr>
            <w:tcW w:w="1800" w:type="dxa"/>
            <w:vAlign w:val="center"/>
          </w:tcPr>
          <w:p w14:paraId="7D323D89">
            <w:pPr>
              <w:spacing w:line="360" w:lineRule="auto"/>
              <w:jc w:val="center"/>
              <w:rPr>
                <w:rFonts w:hint="eastAsia" w:ascii="宋体" w:hAnsi="宋体"/>
                <w:color w:val="auto"/>
                <w:sz w:val="24"/>
                <w:highlight w:val="none"/>
              </w:rPr>
            </w:pPr>
          </w:p>
        </w:tc>
      </w:tr>
      <w:tr w14:paraId="3904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552D4611">
            <w:pPr>
              <w:spacing w:line="360" w:lineRule="auto"/>
              <w:jc w:val="center"/>
              <w:rPr>
                <w:rFonts w:hint="eastAsia" w:ascii="宋体" w:hAnsi="宋体"/>
                <w:color w:val="auto"/>
                <w:sz w:val="24"/>
                <w:highlight w:val="none"/>
              </w:rPr>
            </w:pPr>
          </w:p>
        </w:tc>
        <w:tc>
          <w:tcPr>
            <w:tcW w:w="1080" w:type="dxa"/>
            <w:vAlign w:val="center"/>
          </w:tcPr>
          <w:p w14:paraId="44E5CBD9">
            <w:pPr>
              <w:spacing w:line="360" w:lineRule="auto"/>
              <w:jc w:val="center"/>
              <w:rPr>
                <w:rFonts w:hint="eastAsia" w:ascii="宋体" w:hAnsi="宋体"/>
                <w:color w:val="auto"/>
                <w:sz w:val="24"/>
                <w:highlight w:val="none"/>
              </w:rPr>
            </w:pPr>
          </w:p>
        </w:tc>
        <w:tc>
          <w:tcPr>
            <w:tcW w:w="2340" w:type="dxa"/>
            <w:vAlign w:val="center"/>
          </w:tcPr>
          <w:p w14:paraId="3ECA1D39">
            <w:pPr>
              <w:spacing w:line="360" w:lineRule="auto"/>
              <w:jc w:val="center"/>
              <w:rPr>
                <w:rFonts w:hint="eastAsia" w:ascii="宋体" w:hAnsi="宋体"/>
                <w:color w:val="auto"/>
                <w:sz w:val="24"/>
                <w:highlight w:val="none"/>
              </w:rPr>
            </w:pPr>
          </w:p>
        </w:tc>
        <w:tc>
          <w:tcPr>
            <w:tcW w:w="2484" w:type="dxa"/>
            <w:vAlign w:val="center"/>
          </w:tcPr>
          <w:p w14:paraId="6ACFE1EE">
            <w:pPr>
              <w:spacing w:line="360" w:lineRule="auto"/>
              <w:jc w:val="center"/>
              <w:rPr>
                <w:rFonts w:hint="eastAsia" w:ascii="宋体" w:hAnsi="宋体"/>
                <w:color w:val="auto"/>
                <w:sz w:val="24"/>
                <w:highlight w:val="none"/>
              </w:rPr>
            </w:pPr>
          </w:p>
        </w:tc>
        <w:tc>
          <w:tcPr>
            <w:tcW w:w="1260" w:type="dxa"/>
          </w:tcPr>
          <w:p w14:paraId="441B5994">
            <w:pPr>
              <w:spacing w:line="360" w:lineRule="auto"/>
              <w:jc w:val="center"/>
              <w:rPr>
                <w:rFonts w:hint="eastAsia" w:ascii="宋体" w:hAnsi="宋体"/>
                <w:color w:val="auto"/>
                <w:sz w:val="24"/>
                <w:highlight w:val="none"/>
              </w:rPr>
            </w:pPr>
          </w:p>
        </w:tc>
        <w:tc>
          <w:tcPr>
            <w:tcW w:w="1800" w:type="dxa"/>
            <w:vAlign w:val="center"/>
          </w:tcPr>
          <w:p w14:paraId="68484ED1">
            <w:pPr>
              <w:spacing w:line="360" w:lineRule="auto"/>
              <w:jc w:val="center"/>
              <w:rPr>
                <w:rFonts w:hint="eastAsia" w:ascii="宋体" w:hAnsi="宋体"/>
                <w:color w:val="auto"/>
                <w:sz w:val="24"/>
                <w:highlight w:val="none"/>
              </w:rPr>
            </w:pPr>
          </w:p>
        </w:tc>
      </w:tr>
      <w:tr w14:paraId="05CD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7F0C95B0">
            <w:pPr>
              <w:spacing w:line="360" w:lineRule="auto"/>
              <w:jc w:val="center"/>
              <w:rPr>
                <w:rFonts w:hint="eastAsia" w:ascii="宋体" w:hAnsi="宋体"/>
                <w:color w:val="auto"/>
                <w:sz w:val="24"/>
                <w:highlight w:val="none"/>
              </w:rPr>
            </w:pPr>
          </w:p>
        </w:tc>
        <w:tc>
          <w:tcPr>
            <w:tcW w:w="1080" w:type="dxa"/>
            <w:vAlign w:val="center"/>
          </w:tcPr>
          <w:p w14:paraId="20D77D52">
            <w:pPr>
              <w:spacing w:line="360" w:lineRule="auto"/>
              <w:jc w:val="center"/>
              <w:rPr>
                <w:rFonts w:hint="eastAsia" w:ascii="宋体" w:hAnsi="宋体"/>
                <w:color w:val="auto"/>
                <w:sz w:val="24"/>
                <w:highlight w:val="none"/>
              </w:rPr>
            </w:pPr>
          </w:p>
        </w:tc>
        <w:tc>
          <w:tcPr>
            <w:tcW w:w="2340" w:type="dxa"/>
            <w:vAlign w:val="center"/>
          </w:tcPr>
          <w:p w14:paraId="05EF7A59">
            <w:pPr>
              <w:spacing w:line="360" w:lineRule="auto"/>
              <w:jc w:val="center"/>
              <w:rPr>
                <w:rFonts w:hint="eastAsia" w:ascii="宋体" w:hAnsi="宋体"/>
                <w:color w:val="auto"/>
                <w:sz w:val="24"/>
                <w:highlight w:val="none"/>
              </w:rPr>
            </w:pPr>
          </w:p>
        </w:tc>
        <w:tc>
          <w:tcPr>
            <w:tcW w:w="2484" w:type="dxa"/>
            <w:vAlign w:val="center"/>
          </w:tcPr>
          <w:p w14:paraId="4F356DB7">
            <w:pPr>
              <w:spacing w:line="360" w:lineRule="auto"/>
              <w:jc w:val="center"/>
              <w:rPr>
                <w:rFonts w:hint="eastAsia" w:ascii="宋体" w:hAnsi="宋体"/>
                <w:color w:val="auto"/>
                <w:sz w:val="24"/>
                <w:highlight w:val="none"/>
              </w:rPr>
            </w:pPr>
          </w:p>
        </w:tc>
        <w:tc>
          <w:tcPr>
            <w:tcW w:w="1260" w:type="dxa"/>
          </w:tcPr>
          <w:p w14:paraId="4FBEE6F6">
            <w:pPr>
              <w:spacing w:line="360" w:lineRule="auto"/>
              <w:jc w:val="center"/>
              <w:rPr>
                <w:rFonts w:hint="eastAsia" w:ascii="宋体" w:hAnsi="宋体"/>
                <w:color w:val="auto"/>
                <w:sz w:val="24"/>
                <w:highlight w:val="none"/>
              </w:rPr>
            </w:pPr>
          </w:p>
        </w:tc>
        <w:tc>
          <w:tcPr>
            <w:tcW w:w="1800" w:type="dxa"/>
            <w:vAlign w:val="center"/>
          </w:tcPr>
          <w:p w14:paraId="69AF5144">
            <w:pPr>
              <w:spacing w:line="360" w:lineRule="auto"/>
              <w:jc w:val="center"/>
              <w:rPr>
                <w:rFonts w:hint="eastAsia" w:ascii="宋体" w:hAnsi="宋体"/>
                <w:color w:val="auto"/>
                <w:sz w:val="24"/>
                <w:highlight w:val="none"/>
              </w:rPr>
            </w:pPr>
          </w:p>
        </w:tc>
      </w:tr>
      <w:tr w14:paraId="1489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3C5D9CE2">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1080" w:type="dxa"/>
            <w:vAlign w:val="center"/>
          </w:tcPr>
          <w:p w14:paraId="6E586E47">
            <w:pPr>
              <w:spacing w:line="360" w:lineRule="auto"/>
              <w:jc w:val="center"/>
              <w:rPr>
                <w:rFonts w:hint="eastAsia" w:ascii="宋体" w:hAnsi="宋体"/>
                <w:color w:val="auto"/>
                <w:sz w:val="24"/>
                <w:highlight w:val="none"/>
              </w:rPr>
            </w:pPr>
          </w:p>
        </w:tc>
        <w:tc>
          <w:tcPr>
            <w:tcW w:w="2340" w:type="dxa"/>
            <w:vAlign w:val="center"/>
          </w:tcPr>
          <w:p w14:paraId="518B9460">
            <w:pPr>
              <w:spacing w:line="360" w:lineRule="auto"/>
              <w:jc w:val="center"/>
              <w:rPr>
                <w:rFonts w:hint="eastAsia" w:ascii="宋体" w:hAnsi="宋体"/>
                <w:color w:val="auto"/>
                <w:sz w:val="24"/>
                <w:highlight w:val="none"/>
              </w:rPr>
            </w:pPr>
          </w:p>
        </w:tc>
        <w:tc>
          <w:tcPr>
            <w:tcW w:w="2484" w:type="dxa"/>
            <w:vAlign w:val="center"/>
          </w:tcPr>
          <w:p w14:paraId="72C80701">
            <w:pPr>
              <w:spacing w:line="360" w:lineRule="auto"/>
              <w:jc w:val="center"/>
              <w:rPr>
                <w:rFonts w:hint="eastAsia" w:ascii="宋体" w:hAnsi="宋体"/>
                <w:color w:val="auto"/>
                <w:sz w:val="24"/>
                <w:highlight w:val="none"/>
              </w:rPr>
            </w:pPr>
          </w:p>
        </w:tc>
        <w:tc>
          <w:tcPr>
            <w:tcW w:w="1260" w:type="dxa"/>
          </w:tcPr>
          <w:p w14:paraId="7EC1B349">
            <w:pPr>
              <w:spacing w:line="360" w:lineRule="auto"/>
              <w:jc w:val="center"/>
              <w:rPr>
                <w:rFonts w:hint="eastAsia" w:ascii="宋体" w:hAnsi="宋体"/>
                <w:color w:val="auto"/>
                <w:sz w:val="24"/>
                <w:highlight w:val="none"/>
              </w:rPr>
            </w:pPr>
          </w:p>
        </w:tc>
        <w:tc>
          <w:tcPr>
            <w:tcW w:w="1800" w:type="dxa"/>
            <w:vAlign w:val="center"/>
          </w:tcPr>
          <w:p w14:paraId="6807F685">
            <w:pPr>
              <w:spacing w:line="360" w:lineRule="auto"/>
              <w:jc w:val="center"/>
              <w:rPr>
                <w:rFonts w:hint="eastAsia" w:ascii="宋体" w:hAnsi="宋体"/>
                <w:color w:val="auto"/>
                <w:sz w:val="24"/>
                <w:highlight w:val="none"/>
              </w:rPr>
            </w:pPr>
          </w:p>
        </w:tc>
      </w:tr>
    </w:tbl>
    <w:p w14:paraId="719CE3BF">
      <w:pPr>
        <w:pStyle w:val="19"/>
        <w:rPr>
          <w:rFonts w:hint="eastAsia"/>
          <w:color w:val="auto"/>
          <w:sz w:val="21"/>
          <w:szCs w:val="21"/>
          <w:highlight w:val="none"/>
        </w:rPr>
      </w:pPr>
      <w:r>
        <w:rPr>
          <w:rFonts w:hint="eastAsia"/>
          <w:color w:val="auto"/>
          <w:sz w:val="21"/>
          <w:szCs w:val="21"/>
          <w:highlight w:val="none"/>
        </w:rPr>
        <w:t>注：1、</w:t>
      </w:r>
      <w:r>
        <w:rPr>
          <w:color w:val="auto"/>
          <w:sz w:val="21"/>
          <w:szCs w:val="21"/>
          <w:highlight w:val="none"/>
        </w:rPr>
        <w:t>表格中“偏离”</w:t>
      </w:r>
      <w:r>
        <w:rPr>
          <w:rFonts w:hint="eastAsia"/>
          <w:color w:val="auto"/>
          <w:sz w:val="21"/>
          <w:szCs w:val="21"/>
          <w:highlight w:val="none"/>
        </w:rPr>
        <w:t>一列，</w:t>
      </w:r>
      <w:r>
        <w:rPr>
          <w:color w:val="auto"/>
          <w:sz w:val="21"/>
          <w:szCs w:val="21"/>
          <w:highlight w:val="none"/>
        </w:rPr>
        <w:t>投标人只能如实填写“</w:t>
      </w:r>
      <w:r>
        <w:rPr>
          <w:rFonts w:hint="eastAsia"/>
          <w:color w:val="auto"/>
          <w:sz w:val="21"/>
          <w:szCs w:val="21"/>
          <w:highlight w:val="none"/>
        </w:rPr>
        <w:t>正偏离</w:t>
      </w:r>
      <w:r>
        <w:rPr>
          <w:color w:val="auto"/>
          <w:sz w:val="21"/>
          <w:szCs w:val="21"/>
          <w:highlight w:val="none"/>
        </w:rPr>
        <w:t>”</w:t>
      </w:r>
      <w:r>
        <w:rPr>
          <w:rFonts w:hint="eastAsia"/>
          <w:color w:val="auto"/>
          <w:sz w:val="21"/>
          <w:szCs w:val="21"/>
          <w:highlight w:val="none"/>
        </w:rPr>
        <w:t>、“负</w:t>
      </w:r>
      <w:r>
        <w:rPr>
          <w:color w:val="auto"/>
          <w:sz w:val="21"/>
          <w:szCs w:val="21"/>
          <w:highlight w:val="none"/>
        </w:rPr>
        <w:t>偏离”或“无偏离”。凡投标内容</w:t>
      </w:r>
      <w:r>
        <w:rPr>
          <w:rFonts w:hint="eastAsia"/>
          <w:color w:val="auto"/>
          <w:sz w:val="21"/>
          <w:szCs w:val="21"/>
          <w:highlight w:val="none"/>
        </w:rPr>
        <w:t>高于</w:t>
      </w:r>
      <w:r>
        <w:rPr>
          <w:color w:val="auto"/>
          <w:sz w:val="21"/>
          <w:szCs w:val="21"/>
          <w:highlight w:val="none"/>
        </w:rPr>
        <w:t>招标文件要求</w:t>
      </w:r>
      <w:r>
        <w:rPr>
          <w:rFonts w:hint="eastAsia"/>
          <w:color w:val="auto"/>
          <w:sz w:val="21"/>
          <w:szCs w:val="21"/>
          <w:highlight w:val="none"/>
        </w:rPr>
        <w:t>的，按</w:t>
      </w:r>
      <w:r>
        <w:rPr>
          <w:color w:val="auto"/>
          <w:sz w:val="21"/>
          <w:szCs w:val="21"/>
          <w:highlight w:val="none"/>
        </w:rPr>
        <w:t>“</w:t>
      </w:r>
      <w:r>
        <w:rPr>
          <w:rFonts w:hint="eastAsia"/>
          <w:color w:val="auto"/>
          <w:sz w:val="21"/>
          <w:szCs w:val="21"/>
          <w:highlight w:val="none"/>
        </w:rPr>
        <w:t>正</w:t>
      </w:r>
      <w:r>
        <w:rPr>
          <w:color w:val="auto"/>
          <w:sz w:val="21"/>
          <w:szCs w:val="21"/>
          <w:highlight w:val="none"/>
        </w:rPr>
        <w:t>偏离”填写</w:t>
      </w:r>
      <w:r>
        <w:rPr>
          <w:rFonts w:hint="eastAsia"/>
          <w:color w:val="auto"/>
          <w:sz w:val="21"/>
          <w:szCs w:val="21"/>
          <w:highlight w:val="none"/>
        </w:rPr>
        <w:t>；低于招标文件要求的，按</w:t>
      </w:r>
      <w:r>
        <w:rPr>
          <w:color w:val="auto"/>
          <w:sz w:val="21"/>
          <w:szCs w:val="21"/>
          <w:highlight w:val="none"/>
        </w:rPr>
        <w:t>“</w:t>
      </w:r>
      <w:r>
        <w:rPr>
          <w:rFonts w:hint="eastAsia"/>
          <w:color w:val="auto"/>
          <w:sz w:val="21"/>
          <w:szCs w:val="21"/>
          <w:highlight w:val="none"/>
        </w:rPr>
        <w:t>负</w:t>
      </w:r>
      <w:r>
        <w:rPr>
          <w:color w:val="auto"/>
          <w:sz w:val="21"/>
          <w:szCs w:val="21"/>
          <w:highlight w:val="none"/>
        </w:rPr>
        <w:t>偏离”填写</w:t>
      </w:r>
      <w:r>
        <w:rPr>
          <w:rFonts w:hint="eastAsia"/>
          <w:color w:val="auto"/>
          <w:sz w:val="21"/>
          <w:szCs w:val="21"/>
          <w:highlight w:val="none"/>
        </w:rPr>
        <w:t>；满足招标文件要求的，按“无偏离”填写。</w:t>
      </w:r>
      <w:r>
        <w:rPr>
          <w:color w:val="auto"/>
          <w:sz w:val="21"/>
          <w:szCs w:val="21"/>
          <w:highlight w:val="none"/>
        </w:rPr>
        <w:t>并在</w:t>
      </w:r>
      <w:r>
        <w:rPr>
          <w:rFonts w:hint="eastAsia"/>
          <w:color w:val="auto"/>
          <w:sz w:val="21"/>
          <w:szCs w:val="21"/>
          <w:highlight w:val="none"/>
        </w:rPr>
        <w:t>“</w:t>
      </w:r>
      <w:r>
        <w:rPr>
          <w:b/>
          <w:color w:val="auto"/>
          <w:sz w:val="21"/>
          <w:szCs w:val="21"/>
          <w:highlight w:val="none"/>
        </w:rPr>
        <w:t>投标品牌、型号、技术参数及配置</w:t>
      </w:r>
      <w:r>
        <w:rPr>
          <w:rFonts w:hint="eastAsia"/>
          <w:b/>
          <w:color w:val="auto"/>
          <w:sz w:val="21"/>
          <w:szCs w:val="21"/>
          <w:highlight w:val="none"/>
        </w:rPr>
        <w:t>”一列中</w:t>
      </w:r>
      <w:r>
        <w:rPr>
          <w:color w:val="auto"/>
          <w:sz w:val="21"/>
          <w:szCs w:val="21"/>
          <w:highlight w:val="none"/>
        </w:rPr>
        <w:t>写明技术</w:t>
      </w:r>
      <w:r>
        <w:rPr>
          <w:rFonts w:hint="eastAsia"/>
          <w:color w:val="auto"/>
          <w:sz w:val="21"/>
          <w:szCs w:val="21"/>
          <w:highlight w:val="none"/>
        </w:rPr>
        <w:t>参数</w:t>
      </w:r>
      <w:r>
        <w:rPr>
          <w:color w:val="auto"/>
          <w:sz w:val="21"/>
          <w:szCs w:val="21"/>
          <w:highlight w:val="none"/>
        </w:rPr>
        <w:t>。</w:t>
      </w:r>
    </w:p>
    <w:p w14:paraId="2ADA00DD">
      <w:pPr>
        <w:pStyle w:val="19"/>
        <w:rPr>
          <w:rFonts w:hint="eastAsia"/>
          <w:color w:val="auto"/>
          <w:sz w:val="21"/>
          <w:szCs w:val="21"/>
          <w:highlight w:val="none"/>
        </w:rPr>
      </w:pPr>
      <w:r>
        <w:rPr>
          <w:rFonts w:hint="eastAsia"/>
          <w:color w:val="auto"/>
          <w:sz w:val="21"/>
          <w:szCs w:val="21"/>
          <w:highlight w:val="none"/>
        </w:rPr>
        <w:t>2、序号应对应该产品在第五章《项目需求及技术要求》中的序号。</w:t>
      </w:r>
    </w:p>
    <w:p w14:paraId="085FD61C">
      <w:pPr>
        <w:pStyle w:val="19"/>
        <w:rPr>
          <w:rFonts w:hint="eastAsia"/>
          <w:color w:val="auto"/>
          <w:sz w:val="21"/>
          <w:szCs w:val="21"/>
          <w:highlight w:val="none"/>
        </w:rPr>
      </w:pPr>
      <w:r>
        <w:rPr>
          <w:rFonts w:hint="eastAsia"/>
          <w:color w:val="auto"/>
          <w:sz w:val="21"/>
          <w:szCs w:val="21"/>
          <w:highlight w:val="none"/>
        </w:rPr>
        <w:t>3、各投标人必须对招标文件第五章《项目需求及技术要求》中的技术参数要求作出全面、真实的反映，投标人除如实填写技术规格偏离表外，投标文件中必须提供最新技术支持资料支持参数技术规格偏离表应答（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b/>
          <w:color w:val="auto"/>
          <w:sz w:val="21"/>
          <w:szCs w:val="21"/>
          <w:highlight w:val="none"/>
        </w:rPr>
        <w:t>若投标文件中最新技术支持资料参数与技术规格偏离表应答不符或无技术资料应答，而投标人又未在投标文件中作出说明和解释的，视为</w:t>
      </w:r>
      <w:r>
        <w:rPr>
          <w:rFonts w:hint="eastAsia"/>
          <w:b/>
          <w:color w:val="auto"/>
          <w:sz w:val="21"/>
          <w:szCs w:val="21"/>
          <w:highlight w:val="none"/>
          <w:u w:val="single"/>
        </w:rPr>
        <w:t>不响应该条技术参数要求</w:t>
      </w:r>
      <w:r>
        <w:rPr>
          <w:rFonts w:hint="eastAsia"/>
          <w:b/>
          <w:color w:val="auto"/>
          <w:sz w:val="21"/>
          <w:szCs w:val="21"/>
          <w:highlight w:val="none"/>
        </w:rPr>
        <w:t>。</w:t>
      </w:r>
    </w:p>
    <w:p w14:paraId="5FA5B002">
      <w:pPr>
        <w:pStyle w:val="19"/>
        <w:rPr>
          <w:rFonts w:hint="eastAsia"/>
          <w:color w:val="auto"/>
          <w:sz w:val="21"/>
          <w:szCs w:val="21"/>
          <w:highlight w:val="none"/>
        </w:rPr>
      </w:pPr>
      <w:r>
        <w:rPr>
          <w:rFonts w:hint="eastAsia"/>
          <w:color w:val="auto"/>
          <w:sz w:val="21"/>
          <w:szCs w:val="21"/>
          <w:highlight w:val="none"/>
        </w:rPr>
        <w:t>4.投标人应将支持该项技术要求响应的技术支持资料在投标文件中的索引（页码及条目号等）标注在“技术支持资料索引”一栏中。</w:t>
      </w:r>
    </w:p>
    <w:p w14:paraId="725E33A3">
      <w:pPr>
        <w:spacing w:line="360" w:lineRule="auto"/>
        <w:jc w:val="left"/>
        <w:rPr>
          <w:rFonts w:hint="eastAsia" w:ascii="宋体" w:hAnsi="宋体"/>
          <w:b/>
          <w:color w:val="auto"/>
          <w:sz w:val="24"/>
          <w:highlight w:val="none"/>
        </w:rPr>
      </w:pPr>
    </w:p>
    <w:p w14:paraId="22EFD82C">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6644CF72">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78D742D8">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752C5107">
      <w:pPr>
        <w:pStyle w:val="19"/>
        <w:rPr>
          <w:rFonts w:hint="eastAsia"/>
          <w:color w:val="auto"/>
          <w:highlight w:val="none"/>
        </w:rPr>
      </w:pPr>
      <w:r>
        <w:rPr>
          <w:color w:val="auto"/>
          <w:highlight w:val="none"/>
        </w:rPr>
        <w:t xml:space="preserve"> </w:t>
      </w:r>
    </w:p>
    <w:p w14:paraId="402D5D6C">
      <w:pPr>
        <w:rPr>
          <w:color w:val="auto"/>
          <w:highlight w:val="none"/>
        </w:rPr>
      </w:pPr>
      <w:bookmarkStart w:id="186" w:name="_Toc16322"/>
      <w:bookmarkStart w:id="187" w:name="_Toc493600042"/>
      <w:bookmarkStart w:id="188" w:name="_Toc13665033"/>
      <w:bookmarkStart w:id="189" w:name="_Toc101004120"/>
      <w:bookmarkStart w:id="190" w:name="_Toc141099680"/>
      <w:r>
        <w:rPr>
          <w:rFonts w:hint="eastAsia"/>
          <w:color w:val="auto"/>
          <w:highlight w:val="none"/>
        </w:rPr>
        <w:br w:type="page"/>
      </w:r>
    </w:p>
    <w:p w14:paraId="2765D705">
      <w:pPr>
        <w:pStyle w:val="5"/>
        <w:rPr>
          <w:color w:val="auto"/>
          <w:highlight w:val="none"/>
        </w:rPr>
      </w:pPr>
      <w:r>
        <w:rPr>
          <w:rFonts w:hint="eastAsia"/>
          <w:color w:val="auto"/>
          <w:highlight w:val="none"/>
        </w:rPr>
        <w:t>（二）技 术 文 件</w:t>
      </w:r>
      <w:bookmarkEnd w:id="186"/>
      <w:bookmarkEnd w:id="187"/>
      <w:bookmarkEnd w:id="188"/>
      <w:bookmarkEnd w:id="189"/>
      <w:bookmarkEnd w:id="190"/>
    </w:p>
    <w:p w14:paraId="08F6AC0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应包括（但不限于）以下内容：</w:t>
      </w:r>
    </w:p>
    <w:p w14:paraId="7A32D193">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1.投标人基本情况（</w:t>
      </w:r>
      <w:r>
        <w:rPr>
          <w:rFonts w:hint="eastAsia" w:ascii="宋体" w:hAnsi="宋体"/>
          <w:color w:val="auto"/>
          <w:sz w:val="24"/>
          <w:highlight w:val="none"/>
        </w:rPr>
        <w:t>组织机构、服务能力、为保证项目运行所必须的人员等</w:t>
      </w:r>
      <w:r>
        <w:rPr>
          <w:rFonts w:ascii="宋体" w:hAnsi="宋体"/>
          <w:color w:val="auto"/>
          <w:sz w:val="24"/>
          <w:highlight w:val="none"/>
        </w:rPr>
        <w:t>）概述；</w:t>
      </w:r>
    </w:p>
    <w:p w14:paraId="0A9EDB5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w:t>
      </w:r>
      <w:r>
        <w:rPr>
          <w:rFonts w:hint="eastAsia" w:ascii="宋体" w:hAnsi="宋体"/>
          <w:color w:val="auto"/>
          <w:sz w:val="24"/>
          <w:highlight w:val="none"/>
        </w:rPr>
        <w:t>投标人技术支持资料（</w:t>
      </w:r>
      <w:r>
        <w:rPr>
          <w:rFonts w:hint="eastAsia" w:hAnsi="宋体"/>
          <w:bCs/>
          <w:color w:val="auto"/>
          <w:sz w:val="24"/>
          <w:highlight w:val="none"/>
        </w:rPr>
        <w:t>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ascii="宋体" w:hAnsi="宋体"/>
          <w:color w:val="auto"/>
          <w:sz w:val="24"/>
          <w:highlight w:val="none"/>
        </w:rPr>
        <w:t>）；</w:t>
      </w:r>
    </w:p>
    <w:p w14:paraId="0B51FBB7">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项目实施方案</w:t>
      </w:r>
      <w:r>
        <w:rPr>
          <w:rFonts w:ascii="宋体" w:hAnsi="宋体"/>
          <w:color w:val="auto"/>
          <w:sz w:val="24"/>
          <w:highlight w:val="none"/>
        </w:rPr>
        <w:t>；</w:t>
      </w:r>
    </w:p>
    <w:p w14:paraId="6332642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供货能力证明材料（包括投标产品合法来源渠道的证明文件（包括但不限于代理协议、销售协议等））；</w:t>
      </w:r>
    </w:p>
    <w:p w14:paraId="1F395A14">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5.投标人提出的合理化建议；</w:t>
      </w:r>
    </w:p>
    <w:p w14:paraId="76417B4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w:t>
      </w:r>
    </w:p>
    <w:p w14:paraId="4923D7C5">
      <w:pPr>
        <w:pStyle w:val="19"/>
        <w:rPr>
          <w:rFonts w:hint="eastAsia"/>
          <w:color w:val="auto"/>
          <w:highlight w:val="none"/>
        </w:rPr>
      </w:pPr>
    </w:p>
    <w:p w14:paraId="7F196D37">
      <w:pPr>
        <w:pStyle w:val="19"/>
        <w:rPr>
          <w:rFonts w:hint="eastAsia"/>
          <w:color w:val="auto"/>
          <w:highlight w:val="none"/>
        </w:rPr>
      </w:pPr>
      <w:r>
        <w:rPr>
          <w:rFonts w:hint="eastAsia"/>
          <w:color w:val="auto"/>
          <w:highlight w:val="none"/>
        </w:rPr>
        <w:br w:type="page"/>
      </w:r>
      <w:r>
        <w:rPr>
          <w:color w:val="auto"/>
          <w:highlight w:val="none"/>
        </w:rPr>
        <w:t xml:space="preserve"> </w:t>
      </w:r>
    </w:p>
    <w:p w14:paraId="0D7FD038">
      <w:pPr>
        <w:pStyle w:val="5"/>
        <w:rPr>
          <w:color w:val="auto"/>
          <w:highlight w:val="none"/>
        </w:rPr>
      </w:pPr>
      <w:bookmarkStart w:id="191" w:name="_Toc13665035"/>
      <w:bookmarkStart w:id="192" w:name="_Toc28659"/>
      <w:bookmarkStart w:id="193" w:name="_Toc101004122"/>
      <w:bookmarkStart w:id="194" w:name="_Toc141099682"/>
      <w:bookmarkStart w:id="195" w:name="_Toc493600044"/>
      <w:r>
        <w:rPr>
          <w:rFonts w:hint="eastAsia"/>
          <w:color w:val="auto"/>
          <w:highlight w:val="none"/>
        </w:rPr>
        <w:t>（三）</w:t>
      </w:r>
      <w:bookmarkStart w:id="196" w:name="_Toc21439443"/>
      <w:bookmarkStart w:id="197" w:name="_Toc71626203"/>
      <w:r>
        <w:rPr>
          <w:rFonts w:hint="eastAsia"/>
          <w:color w:val="auto"/>
          <w:highlight w:val="none"/>
        </w:rPr>
        <w:t>节能产品/环境标志产品承诺书（按需提供）</w:t>
      </w:r>
      <w:bookmarkEnd w:id="196"/>
      <w:bookmarkEnd w:id="197"/>
    </w:p>
    <w:p w14:paraId="7B63A3E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（采购人名称） </w:t>
      </w:r>
      <w:r>
        <w:rPr>
          <w:rFonts w:ascii="宋体" w:hAnsi="宋体"/>
          <w:color w:val="auto"/>
          <w:sz w:val="24"/>
          <w:highlight w:val="none"/>
          <w:u w:val="single"/>
        </w:rPr>
        <w:t xml:space="preserve">       </w:t>
      </w:r>
      <w:r>
        <w:rPr>
          <w:rFonts w:hint="eastAsia" w:ascii="宋体" w:hAnsi="宋体"/>
          <w:color w:val="auto"/>
          <w:sz w:val="24"/>
          <w:highlight w:val="none"/>
        </w:rPr>
        <w:t>：</w:t>
      </w:r>
    </w:p>
    <w:p w14:paraId="38947BB0">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本单位承诺，根据《财政部 发展改革委 生态环境部 市场监管总局 关于调整优化节能产品、环境标志产品政府采购执行机制的通知》（财库〔2019〕9号）的规定，本单位提供的</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（产品名称）</w:t>
      </w:r>
      <w:r>
        <w:rPr>
          <w:rFonts w:ascii="宋体" w:hAnsi="宋体"/>
          <w:color w:val="auto"/>
          <w:sz w:val="24"/>
          <w:highlight w:val="none"/>
          <w:u w:val="single"/>
        </w:rPr>
        <w:t xml:space="preserve">     </w:t>
      </w:r>
      <w:r>
        <w:rPr>
          <w:rFonts w:hint="eastAsia" w:ascii="宋体" w:hAnsi="宋体"/>
          <w:color w:val="auto"/>
          <w:sz w:val="24"/>
          <w:highlight w:val="none"/>
        </w:rPr>
        <w:t>为取得国家确定的认证机构出具的、处于有效期之内的节能产品/环境标志产品认证证书的节能产品/环境标志产品，且产品认证依据《节能产品政府采购品目清单》、《环境标志产品政府采购品目清单》中相关标准的最新版本，并可在市场监管总局组织建立节能产品、环境标志产品认证结果信息发布平台中查询、了解认证机构和获证产品相关情况。</w:t>
      </w:r>
    </w:p>
    <w:p w14:paraId="3359D89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本单位对上述承诺的真实性负责。如有虚假，将依法承担相应责任。</w:t>
      </w:r>
    </w:p>
    <w:p w14:paraId="18D707E7">
      <w:pPr>
        <w:pStyle w:val="2"/>
        <w:ind w:firstLine="400"/>
        <w:rPr>
          <w:color w:val="auto"/>
          <w:highlight w:val="none"/>
        </w:rPr>
      </w:pPr>
    </w:p>
    <w:p w14:paraId="0C56E3BD">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注</w:t>
      </w:r>
      <w:r>
        <w:rPr>
          <w:rFonts w:hint="eastAsia" w:ascii="宋体" w:hAnsi="宋体"/>
          <w:color w:val="auto"/>
          <w:sz w:val="24"/>
          <w:highlight w:val="none"/>
        </w:rPr>
        <w:t>：</w:t>
      </w:r>
      <w:r>
        <w:rPr>
          <w:rFonts w:ascii="宋体" w:hAnsi="宋体"/>
          <w:color w:val="auto"/>
          <w:sz w:val="24"/>
          <w:highlight w:val="none"/>
        </w:rPr>
        <w:t>后附</w:t>
      </w:r>
      <w:r>
        <w:rPr>
          <w:rFonts w:hint="eastAsia" w:ascii="宋体" w:hAnsi="宋体"/>
          <w:color w:val="auto"/>
          <w:sz w:val="24"/>
          <w:highlight w:val="none"/>
        </w:rPr>
        <w:t>节能产品/环境标志产品认证证书或相关截图；</w:t>
      </w:r>
    </w:p>
    <w:p w14:paraId="7C6B93B0">
      <w:pPr>
        <w:pStyle w:val="67"/>
        <w:spacing w:before="36" w:after="72"/>
        <w:ind w:firstLine="480"/>
        <w:rPr>
          <w:color w:val="auto"/>
          <w:highlight w:val="none"/>
        </w:rPr>
      </w:pPr>
    </w:p>
    <w:p w14:paraId="460DB276">
      <w:pPr>
        <w:widowControl/>
        <w:jc w:val="left"/>
        <w:rPr>
          <w:rFonts w:eastAsia="黑体"/>
          <w:b/>
          <w:color w:val="auto"/>
          <w:kern w:val="0"/>
          <w:sz w:val="28"/>
          <w:szCs w:val="20"/>
          <w:highlight w:val="none"/>
        </w:rPr>
      </w:pPr>
      <w:r>
        <w:rPr>
          <w:color w:val="auto"/>
          <w:highlight w:val="none"/>
        </w:rPr>
        <w:br w:type="page"/>
      </w:r>
    </w:p>
    <w:p w14:paraId="16842586">
      <w:pPr>
        <w:pStyle w:val="5"/>
        <w:rPr>
          <w:color w:val="auto"/>
          <w:highlight w:val="none"/>
        </w:rPr>
      </w:pPr>
      <w:r>
        <w:rPr>
          <w:color w:val="auto"/>
          <w:highlight w:val="none"/>
        </w:rPr>
        <w:t>（四）构成投标文件技术部分的其</w:t>
      </w:r>
      <w:r>
        <w:rPr>
          <w:rFonts w:hint="eastAsia"/>
          <w:color w:val="auto"/>
          <w:highlight w:val="none"/>
        </w:rPr>
        <w:t>他</w:t>
      </w:r>
      <w:r>
        <w:rPr>
          <w:color w:val="auto"/>
          <w:highlight w:val="none"/>
        </w:rPr>
        <w:t>资料</w:t>
      </w:r>
      <w:bookmarkEnd w:id="191"/>
      <w:bookmarkEnd w:id="192"/>
      <w:bookmarkEnd w:id="193"/>
      <w:bookmarkEnd w:id="194"/>
      <w:bookmarkEnd w:id="195"/>
    </w:p>
    <w:p w14:paraId="66A0322F">
      <w:pPr>
        <w:pStyle w:val="19"/>
        <w:rPr>
          <w:rFonts w:hint="eastAsia"/>
          <w:color w:val="auto"/>
          <w:highlight w:val="none"/>
        </w:rPr>
      </w:pPr>
    </w:p>
    <w:p w14:paraId="2AB2313B">
      <w:pPr>
        <w:spacing w:line="588" w:lineRule="exact"/>
        <w:jc w:val="left"/>
        <w:rPr>
          <w:rFonts w:hint="eastAsia" w:hAnsi="宋体"/>
          <w:color w:val="auto"/>
          <w:sz w:val="24"/>
          <w:highlight w:val="none"/>
        </w:rPr>
      </w:pPr>
    </w:p>
    <w:p w14:paraId="11177D74">
      <w:pPr>
        <w:pStyle w:val="4"/>
        <w:jc w:val="center"/>
        <w:rPr>
          <w:rFonts w:hint="eastAsia" w:ascii="宋体" w:hAnsi="宋体" w:eastAsia="宋体"/>
          <w:b w:val="0"/>
          <w:color w:val="auto"/>
          <w:sz w:val="36"/>
          <w:highlight w:val="none"/>
        </w:rPr>
      </w:pPr>
      <w:r>
        <w:rPr>
          <w:rFonts w:ascii="宋体" w:hAnsi="宋体" w:eastAsia="宋体"/>
          <w:color w:val="auto"/>
          <w:sz w:val="24"/>
          <w:szCs w:val="24"/>
          <w:highlight w:val="none"/>
        </w:rPr>
        <w:br w:type="page"/>
      </w:r>
      <w:bookmarkStart w:id="198" w:name="_Toc32578"/>
      <w:r>
        <w:rPr>
          <w:rFonts w:hint="eastAsia" w:ascii="宋体" w:hAnsi="宋体" w:eastAsia="宋体"/>
          <w:bCs/>
          <w:color w:val="auto"/>
          <w:sz w:val="36"/>
          <w:szCs w:val="36"/>
          <w:highlight w:val="none"/>
        </w:rPr>
        <w:t>第五章  项目需求及技术要求</w:t>
      </w:r>
      <w:bookmarkEnd w:id="198"/>
    </w:p>
    <w:p w14:paraId="4D347686">
      <w:pPr>
        <w:outlineLvl w:val="1"/>
        <w:rPr>
          <w:rFonts w:hint="eastAsia" w:ascii="宋体" w:hAnsi="宋体"/>
          <w:b/>
          <w:color w:val="auto"/>
          <w:sz w:val="24"/>
          <w:highlight w:val="none"/>
        </w:rPr>
      </w:pPr>
      <w:r>
        <w:rPr>
          <w:rFonts w:hint="eastAsia" w:ascii="宋体" w:hAnsi="宋体"/>
          <w:b/>
          <w:color w:val="auto"/>
          <w:sz w:val="24"/>
          <w:highlight w:val="none"/>
        </w:rPr>
        <w:t>一</w:t>
      </w:r>
      <w:r>
        <w:rPr>
          <w:rFonts w:ascii="宋体" w:hAnsi="宋体"/>
          <w:b/>
          <w:color w:val="auto"/>
          <w:sz w:val="24"/>
          <w:highlight w:val="none"/>
        </w:rPr>
        <w:t>、</w:t>
      </w:r>
      <w:r>
        <w:rPr>
          <w:rFonts w:hint="eastAsia" w:ascii="宋体" w:hAnsi="宋体"/>
          <w:b/>
          <w:color w:val="auto"/>
          <w:sz w:val="24"/>
          <w:highlight w:val="none"/>
        </w:rPr>
        <w:t>项目需求一览表</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1095"/>
        <w:gridCol w:w="3229"/>
        <w:gridCol w:w="608"/>
        <w:gridCol w:w="812"/>
        <w:gridCol w:w="1306"/>
        <w:gridCol w:w="1206"/>
        <w:gridCol w:w="872"/>
      </w:tblGrid>
      <w:tr w14:paraId="5D50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40" w:type="pct"/>
            <w:shd w:val="clear" w:color="000000" w:fill="FFFFFF"/>
            <w:vAlign w:val="center"/>
          </w:tcPr>
          <w:p w14:paraId="70B3D309">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603" w:type="pct"/>
            <w:shd w:val="clear" w:color="000000" w:fill="FFFFFF"/>
            <w:vAlign w:val="center"/>
          </w:tcPr>
          <w:p w14:paraId="3DB3F0BD">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★是否接受进口产品</w:t>
            </w:r>
          </w:p>
        </w:tc>
        <w:tc>
          <w:tcPr>
            <w:tcW w:w="1709" w:type="pct"/>
            <w:shd w:val="clear" w:color="000000" w:fill="FFFFFF"/>
            <w:vAlign w:val="center"/>
          </w:tcPr>
          <w:p w14:paraId="3B274EDD">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设备名称</w:t>
            </w:r>
          </w:p>
        </w:tc>
        <w:tc>
          <w:tcPr>
            <w:tcW w:w="339" w:type="pct"/>
            <w:shd w:val="clear" w:color="000000" w:fill="FFFFFF"/>
            <w:vAlign w:val="center"/>
          </w:tcPr>
          <w:p w14:paraId="6E0943B5">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数量</w:t>
            </w:r>
          </w:p>
        </w:tc>
        <w:tc>
          <w:tcPr>
            <w:tcW w:w="446" w:type="pct"/>
            <w:shd w:val="clear" w:color="000000" w:fill="FFFFFF"/>
            <w:vAlign w:val="center"/>
          </w:tcPr>
          <w:p w14:paraId="74776545">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计量单位</w:t>
            </w:r>
          </w:p>
        </w:tc>
        <w:tc>
          <w:tcPr>
            <w:tcW w:w="704" w:type="pct"/>
            <w:shd w:val="clear" w:color="000000" w:fill="FFFFFF"/>
            <w:vAlign w:val="center"/>
          </w:tcPr>
          <w:p w14:paraId="23750546">
            <w:pPr>
              <w:widowControl/>
              <w:jc w:val="center"/>
              <w:rPr>
                <w:rFonts w:hint="eastAsia" w:ascii="宋体" w:hAnsi="宋体" w:cs="Arial"/>
                <w:b/>
                <w:bCs/>
                <w:color w:val="auto"/>
                <w:kern w:val="0"/>
                <w:szCs w:val="21"/>
                <w:highlight w:val="none"/>
              </w:rPr>
            </w:pPr>
            <w:r>
              <w:rPr>
                <w:rFonts w:ascii="宋体" w:hAnsi="宋体" w:cs="Arial"/>
                <w:b/>
                <w:bCs/>
                <w:color w:val="auto"/>
                <w:kern w:val="0"/>
                <w:szCs w:val="21"/>
                <w:highlight w:val="none"/>
              </w:rPr>
              <w:t>单价限价（元）</w:t>
            </w:r>
          </w:p>
        </w:tc>
        <w:tc>
          <w:tcPr>
            <w:tcW w:w="477" w:type="pct"/>
            <w:shd w:val="clear" w:color="000000" w:fill="FFFFFF"/>
            <w:vAlign w:val="center"/>
          </w:tcPr>
          <w:p w14:paraId="237D8604">
            <w:pPr>
              <w:widowControl/>
              <w:jc w:val="center"/>
              <w:rPr>
                <w:rFonts w:hint="eastAsia" w:ascii="宋体" w:hAnsi="宋体" w:eastAsia="宋体" w:cs="Arial"/>
                <w:b/>
                <w:bCs/>
                <w:color w:val="auto"/>
                <w:kern w:val="0"/>
                <w:szCs w:val="21"/>
                <w:highlight w:val="none"/>
                <w:lang w:val="en-US" w:eastAsia="zh-CN"/>
              </w:rPr>
            </w:pPr>
            <w:r>
              <w:rPr>
                <w:rFonts w:hint="eastAsia" w:ascii="宋体" w:hAnsi="宋体" w:cs="Arial"/>
                <w:b/>
                <w:bCs/>
                <w:color w:val="auto"/>
                <w:kern w:val="0"/>
                <w:szCs w:val="21"/>
                <w:highlight w:val="none"/>
                <w:lang w:val="en-US" w:eastAsia="zh-CN"/>
              </w:rPr>
              <w:t>合计（元）</w:t>
            </w:r>
          </w:p>
        </w:tc>
        <w:tc>
          <w:tcPr>
            <w:tcW w:w="477" w:type="pct"/>
            <w:shd w:val="clear" w:color="000000" w:fill="FFFFFF"/>
            <w:vAlign w:val="center"/>
          </w:tcPr>
          <w:p w14:paraId="5B5815FC">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备注</w:t>
            </w:r>
          </w:p>
        </w:tc>
      </w:tr>
      <w:tr w14:paraId="44E3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D252EB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w:t>
            </w:r>
          </w:p>
        </w:tc>
        <w:tc>
          <w:tcPr>
            <w:tcW w:w="603" w:type="pct"/>
            <w:shd w:val="clear" w:color="000000" w:fill="FFFFFF"/>
            <w:vAlign w:val="center"/>
          </w:tcPr>
          <w:p w14:paraId="467E7B7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7D53ABFE">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运动心肺功能测试系统（包括肺功能）</w:t>
            </w:r>
          </w:p>
        </w:tc>
        <w:tc>
          <w:tcPr>
            <w:tcW w:w="339" w:type="pct"/>
            <w:shd w:val="clear" w:color="000000" w:fill="FFFFFF"/>
            <w:vAlign w:val="center"/>
          </w:tcPr>
          <w:p w14:paraId="0DFA23B7">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5038E172">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312DB492">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780000.00</w:t>
            </w:r>
          </w:p>
        </w:tc>
        <w:tc>
          <w:tcPr>
            <w:tcW w:w="920" w:type="dxa"/>
            <w:shd w:val="clear" w:color="000000" w:fill="FFFFFF"/>
            <w:vAlign w:val="center"/>
          </w:tcPr>
          <w:p w14:paraId="0E09C4D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780000.00</w:t>
            </w:r>
          </w:p>
        </w:tc>
        <w:tc>
          <w:tcPr>
            <w:tcW w:w="477" w:type="pct"/>
            <w:shd w:val="clear" w:color="000000" w:fill="FFFFFF"/>
            <w:vAlign w:val="center"/>
          </w:tcPr>
          <w:p w14:paraId="46C8BB86">
            <w:pPr>
              <w:jc w:val="center"/>
              <w:rPr>
                <w:rFonts w:hint="eastAsia" w:ascii="宋体" w:hAnsi="宋体" w:cs="宋体"/>
                <w:color w:val="auto"/>
                <w:sz w:val="22"/>
                <w:szCs w:val="22"/>
                <w:highlight w:val="none"/>
              </w:rPr>
            </w:pPr>
          </w:p>
        </w:tc>
      </w:tr>
      <w:tr w14:paraId="2D2C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5558651">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2</w:t>
            </w:r>
          </w:p>
        </w:tc>
        <w:tc>
          <w:tcPr>
            <w:tcW w:w="603" w:type="pct"/>
            <w:shd w:val="clear" w:color="000000" w:fill="FFFFFF"/>
            <w:vAlign w:val="center"/>
          </w:tcPr>
          <w:p w14:paraId="59036977">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62D1526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6分钟步行试验系统（多导）</w:t>
            </w:r>
          </w:p>
        </w:tc>
        <w:tc>
          <w:tcPr>
            <w:tcW w:w="339" w:type="pct"/>
            <w:shd w:val="clear" w:color="000000" w:fill="FFFFFF"/>
            <w:vAlign w:val="center"/>
          </w:tcPr>
          <w:p w14:paraId="54416BA0">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39A8F10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154E8A6D">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90000.00</w:t>
            </w:r>
          </w:p>
        </w:tc>
        <w:tc>
          <w:tcPr>
            <w:tcW w:w="920" w:type="dxa"/>
            <w:shd w:val="clear" w:color="000000" w:fill="FFFFFF"/>
            <w:vAlign w:val="center"/>
          </w:tcPr>
          <w:p w14:paraId="6DD2572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90000.00</w:t>
            </w:r>
          </w:p>
        </w:tc>
        <w:tc>
          <w:tcPr>
            <w:tcW w:w="477" w:type="pct"/>
            <w:shd w:val="clear" w:color="000000" w:fill="FFFFFF"/>
            <w:vAlign w:val="center"/>
          </w:tcPr>
          <w:p w14:paraId="442B74B9">
            <w:pPr>
              <w:jc w:val="center"/>
              <w:rPr>
                <w:rFonts w:hint="eastAsia" w:ascii="宋体" w:hAnsi="宋体" w:cs="宋体"/>
                <w:color w:val="auto"/>
                <w:sz w:val="22"/>
                <w:szCs w:val="22"/>
                <w:highlight w:val="none"/>
              </w:rPr>
            </w:pPr>
          </w:p>
        </w:tc>
      </w:tr>
      <w:tr w14:paraId="29CF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B3494A2">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603" w:type="pct"/>
            <w:shd w:val="clear" w:color="000000" w:fill="FFFFFF"/>
            <w:vAlign w:val="center"/>
          </w:tcPr>
          <w:p w14:paraId="119EC722">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139036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呼气分析仪（一氧化氮分析仪）</w:t>
            </w:r>
          </w:p>
        </w:tc>
        <w:tc>
          <w:tcPr>
            <w:tcW w:w="339" w:type="pct"/>
            <w:shd w:val="clear" w:color="000000" w:fill="FFFFFF"/>
            <w:vAlign w:val="center"/>
          </w:tcPr>
          <w:p w14:paraId="7ADD4529">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630CFB4A">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0E48A410">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50000.00</w:t>
            </w:r>
          </w:p>
        </w:tc>
        <w:tc>
          <w:tcPr>
            <w:tcW w:w="920" w:type="dxa"/>
            <w:shd w:val="clear" w:color="000000" w:fill="FFFFFF"/>
            <w:vAlign w:val="center"/>
          </w:tcPr>
          <w:p w14:paraId="1C7E1DB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50000.00</w:t>
            </w:r>
          </w:p>
        </w:tc>
        <w:tc>
          <w:tcPr>
            <w:tcW w:w="477" w:type="pct"/>
            <w:shd w:val="clear" w:color="000000" w:fill="FFFFFF"/>
            <w:vAlign w:val="center"/>
          </w:tcPr>
          <w:p w14:paraId="0368EF37">
            <w:pPr>
              <w:jc w:val="center"/>
              <w:rPr>
                <w:rFonts w:hint="eastAsia" w:ascii="宋体" w:hAnsi="宋体" w:cs="宋体"/>
                <w:color w:val="auto"/>
                <w:sz w:val="22"/>
                <w:szCs w:val="22"/>
                <w:highlight w:val="none"/>
              </w:rPr>
            </w:pPr>
          </w:p>
        </w:tc>
      </w:tr>
      <w:tr w14:paraId="1A29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4C03D5D">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603" w:type="pct"/>
            <w:shd w:val="clear" w:color="000000" w:fill="FFFFFF"/>
            <w:vAlign w:val="center"/>
          </w:tcPr>
          <w:p w14:paraId="0F49A5FB">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82100B2">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人体成分测试仪</w:t>
            </w:r>
          </w:p>
        </w:tc>
        <w:tc>
          <w:tcPr>
            <w:tcW w:w="339" w:type="pct"/>
            <w:shd w:val="clear" w:color="000000" w:fill="FFFFFF"/>
            <w:vAlign w:val="center"/>
          </w:tcPr>
          <w:p w14:paraId="3C28D3D0">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6877783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01B5A34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89000.00</w:t>
            </w:r>
          </w:p>
        </w:tc>
        <w:tc>
          <w:tcPr>
            <w:tcW w:w="920" w:type="dxa"/>
            <w:shd w:val="clear" w:color="000000" w:fill="FFFFFF"/>
            <w:vAlign w:val="center"/>
          </w:tcPr>
          <w:p w14:paraId="0C6286A8">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89000.00</w:t>
            </w:r>
          </w:p>
        </w:tc>
        <w:tc>
          <w:tcPr>
            <w:tcW w:w="477" w:type="pct"/>
            <w:shd w:val="clear" w:color="000000" w:fill="FFFFFF"/>
            <w:vAlign w:val="center"/>
          </w:tcPr>
          <w:p w14:paraId="52F308A5">
            <w:pPr>
              <w:jc w:val="center"/>
              <w:rPr>
                <w:rFonts w:hint="eastAsia" w:ascii="宋体" w:hAnsi="宋体" w:cs="宋体"/>
                <w:color w:val="auto"/>
                <w:sz w:val="22"/>
                <w:szCs w:val="22"/>
                <w:highlight w:val="none"/>
              </w:rPr>
            </w:pPr>
          </w:p>
        </w:tc>
      </w:tr>
      <w:tr w14:paraId="7589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484AD97C">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03" w:type="pct"/>
            <w:shd w:val="clear" w:color="000000" w:fill="FFFFFF"/>
            <w:vAlign w:val="center"/>
          </w:tcPr>
          <w:p w14:paraId="28DA1E87">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A518B2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坐位功率自行车（含血压、血氧）</w:t>
            </w:r>
          </w:p>
        </w:tc>
        <w:tc>
          <w:tcPr>
            <w:tcW w:w="339" w:type="pct"/>
            <w:shd w:val="clear" w:color="000000" w:fill="FFFFFF"/>
            <w:vAlign w:val="center"/>
          </w:tcPr>
          <w:p w14:paraId="086CFAA4">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34F11094">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CDD4701">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79000.00</w:t>
            </w:r>
          </w:p>
        </w:tc>
        <w:tc>
          <w:tcPr>
            <w:tcW w:w="920" w:type="dxa"/>
            <w:shd w:val="clear" w:color="000000" w:fill="FFFFFF"/>
            <w:vAlign w:val="center"/>
          </w:tcPr>
          <w:p w14:paraId="1E84DAD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79000.00</w:t>
            </w:r>
          </w:p>
        </w:tc>
        <w:tc>
          <w:tcPr>
            <w:tcW w:w="477" w:type="pct"/>
            <w:shd w:val="clear" w:color="000000" w:fill="FFFFFF"/>
            <w:vAlign w:val="center"/>
          </w:tcPr>
          <w:p w14:paraId="53EE7B8F">
            <w:pPr>
              <w:jc w:val="center"/>
              <w:rPr>
                <w:rFonts w:hint="eastAsia" w:ascii="宋体" w:hAnsi="宋体" w:cs="宋体"/>
                <w:color w:val="auto"/>
                <w:sz w:val="22"/>
                <w:szCs w:val="22"/>
                <w:highlight w:val="none"/>
              </w:rPr>
            </w:pPr>
          </w:p>
        </w:tc>
      </w:tr>
      <w:tr w14:paraId="6962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F50B776">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03" w:type="pct"/>
            <w:shd w:val="clear" w:color="000000" w:fill="FFFFFF"/>
            <w:vAlign w:val="center"/>
          </w:tcPr>
          <w:p w14:paraId="2EC37F0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C6C3040">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斜躺式功率自行车</w:t>
            </w:r>
          </w:p>
        </w:tc>
        <w:tc>
          <w:tcPr>
            <w:tcW w:w="339" w:type="pct"/>
            <w:shd w:val="clear" w:color="000000" w:fill="FFFFFF"/>
            <w:vAlign w:val="center"/>
          </w:tcPr>
          <w:p w14:paraId="7BEAA01E">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51D2E865">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7D12B045">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49000.00</w:t>
            </w:r>
          </w:p>
        </w:tc>
        <w:tc>
          <w:tcPr>
            <w:tcW w:w="920" w:type="dxa"/>
            <w:shd w:val="clear" w:color="000000" w:fill="FFFFFF"/>
            <w:vAlign w:val="center"/>
          </w:tcPr>
          <w:p w14:paraId="3FF2468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49000.00</w:t>
            </w:r>
          </w:p>
        </w:tc>
        <w:tc>
          <w:tcPr>
            <w:tcW w:w="477" w:type="pct"/>
            <w:shd w:val="clear" w:color="000000" w:fill="FFFFFF"/>
            <w:vAlign w:val="center"/>
          </w:tcPr>
          <w:p w14:paraId="5C49EBAA">
            <w:pPr>
              <w:jc w:val="center"/>
              <w:rPr>
                <w:rFonts w:hint="eastAsia" w:ascii="宋体" w:hAnsi="宋体" w:cs="宋体"/>
                <w:color w:val="auto"/>
                <w:sz w:val="22"/>
                <w:szCs w:val="22"/>
                <w:highlight w:val="none"/>
              </w:rPr>
            </w:pPr>
          </w:p>
        </w:tc>
      </w:tr>
      <w:tr w14:paraId="7CB8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5520588A">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603" w:type="pct"/>
            <w:shd w:val="clear" w:color="000000" w:fill="FFFFFF"/>
            <w:vAlign w:val="center"/>
          </w:tcPr>
          <w:p w14:paraId="27927AB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926097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坐式液压抗阻划船机</w:t>
            </w:r>
          </w:p>
        </w:tc>
        <w:tc>
          <w:tcPr>
            <w:tcW w:w="339" w:type="pct"/>
            <w:shd w:val="clear" w:color="000000" w:fill="FFFFFF"/>
            <w:vAlign w:val="center"/>
          </w:tcPr>
          <w:p w14:paraId="6AC436F1">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6D9F84F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71959326">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76000.00</w:t>
            </w:r>
          </w:p>
        </w:tc>
        <w:tc>
          <w:tcPr>
            <w:tcW w:w="920" w:type="dxa"/>
            <w:shd w:val="clear" w:color="000000" w:fill="FFFFFF"/>
            <w:vAlign w:val="center"/>
          </w:tcPr>
          <w:p w14:paraId="09FCB61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76000.00</w:t>
            </w:r>
          </w:p>
        </w:tc>
        <w:tc>
          <w:tcPr>
            <w:tcW w:w="477" w:type="pct"/>
            <w:shd w:val="clear" w:color="000000" w:fill="FFFFFF"/>
            <w:vAlign w:val="center"/>
          </w:tcPr>
          <w:p w14:paraId="440184E6">
            <w:pPr>
              <w:jc w:val="center"/>
              <w:rPr>
                <w:rFonts w:hint="eastAsia" w:ascii="宋体" w:hAnsi="宋体" w:cs="宋体"/>
                <w:color w:val="auto"/>
                <w:sz w:val="22"/>
                <w:szCs w:val="22"/>
                <w:highlight w:val="none"/>
              </w:rPr>
            </w:pPr>
          </w:p>
        </w:tc>
      </w:tr>
      <w:tr w14:paraId="4922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0DCF013">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603" w:type="pct"/>
            <w:shd w:val="clear" w:color="000000" w:fill="FFFFFF"/>
            <w:vAlign w:val="center"/>
          </w:tcPr>
          <w:p w14:paraId="7D4436B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0853CEE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上肢滑轮训练系统</w:t>
            </w:r>
          </w:p>
        </w:tc>
        <w:tc>
          <w:tcPr>
            <w:tcW w:w="339" w:type="pct"/>
            <w:shd w:val="clear" w:color="000000" w:fill="FFFFFF"/>
            <w:vAlign w:val="center"/>
          </w:tcPr>
          <w:p w14:paraId="2054DB88">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47EF2B6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6A2C67AE">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3000.00</w:t>
            </w:r>
          </w:p>
        </w:tc>
        <w:tc>
          <w:tcPr>
            <w:tcW w:w="920" w:type="dxa"/>
            <w:shd w:val="clear" w:color="000000" w:fill="FFFFFF"/>
            <w:vAlign w:val="center"/>
          </w:tcPr>
          <w:p w14:paraId="60235FF4">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3000.00</w:t>
            </w:r>
          </w:p>
        </w:tc>
        <w:tc>
          <w:tcPr>
            <w:tcW w:w="477" w:type="pct"/>
            <w:shd w:val="clear" w:color="000000" w:fill="FFFFFF"/>
            <w:vAlign w:val="center"/>
          </w:tcPr>
          <w:p w14:paraId="05AB581E">
            <w:pPr>
              <w:jc w:val="center"/>
              <w:rPr>
                <w:rFonts w:hint="eastAsia" w:ascii="宋体" w:hAnsi="宋体" w:cs="宋体"/>
                <w:color w:val="auto"/>
                <w:sz w:val="22"/>
                <w:szCs w:val="22"/>
                <w:highlight w:val="none"/>
              </w:rPr>
            </w:pPr>
          </w:p>
        </w:tc>
      </w:tr>
      <w:tr w14:paraId="0436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4251D45">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w:t>
            </w:r>
          </w:p>
        </w:tc>
        <w:tc>
          <w:tcPr>
            <w:tcW w:w="603" w:type="pct"/>
            <w:shd w:val="clear" w:color="000000" w:fill="FFFFFF"/>
            <w:vAlign w:val="center"/>
          </w:tcPr>
          <w:p w14:paraId="3D84C711">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7A171EA0">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下肢抗阻训练器</w:t>
            </w:r>
          </w:p>
        </w:tc>
        <w:tc>
          <w:tcPr>
            <w:tcW w:w="339" w:type="pct"/>
            <w:shd w:val="clear" w:color="000000" w:fill="FFFFFF"/>
            <w:vAlign w:val="center"/>
          </w:tcPr>
          <w:p w14:paraId="5CBC20A0">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49D5521B">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6E4F487">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11000.00</w:t>
            </w:r>
          </w:p>
        </w:tc>
        <w:tc>
          <w:tcPr>
            <w:tcW w:w="920" w:type="dxa"/>
            <w:shd w:val="clear" w:color="000000" w:fill="FFFFFF"/>
            <w:vAlign w:val="center"/>
          </w:tcPr>
          <w:p w14:paraId="3ABB77C1">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11000.00</w:t>
            </w:r>
          </w:p>
        </w:tc>
        <w:tc>
          <w:tcPr>
            <w:tcW w:w="477" w:type="pct"/>
            <w:shd w:val="clear" w:color="000000" w:fill="FFFFFF"/>
            <w:vAlign w:val="center"/>
          </w:tcPr>
          <w:p w14:paraId="1CF93716">
            <w:pPr>
              <w:jc w:val="center"/>
              <w:rPr>
                <w:rFonts w:hint="eastAsia" w:ascii="宋体" w:hAnsi="宋体" w:cs="宋体"/>
                <w:color w:val="auto"/>
                <w:sz w:val="22"/>
                <w:szCs w:val="22"/>
                <w:highlight w:val="none"/>
              </w:rPr>
            </w:pPr>
          </w:p>
        </w:tc>
      </w:tr>
      <w:tr w14:paraId="1F78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65A9F56">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03" w:type="pct"/>
            <w:shd w:val="clear" w:color="000000" w:fill="FFFFFF"/>
            <w:vAlign w:val="center"/>
          </w:tcPr>
          <w:p w14:paraId="757BC92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333D09E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多功能训练长椅（带滑轮系统）</w:t>
            </w:r>
          </w:p>
        </w:tc>
        <w:tc>
          <w:tcPr>
            <w:tcW w:w="339" w:type="pct"/>
            <w:shd w:val="clear" w:color="000000" w:fill="FFFFFF"/>
            <w:vAlign w:val="center"/>
          </w:tcPr>
          <w:p w14:paraId="4FA30091">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34CF406C">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353E4F13">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2000.00</w:t>
            </w:r>
          </w:p>
        </w:tc>
        <w:tc>
          <w:tcPr>
            <w:tcW w:w="920" w:type="dxa"/>
            <w:shd w:val="clear" w:color="000000" w:fill="FFFFFF"/>
            <w:vAlign w:val="center"/>
          </w:tcPr>
          <w:p w14:paraId="7182D02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2000.00</w:t>
            </w:r>
          </w:p>
        </w:tc>
        <w:tc>
          <w:tcPr>
            <w:tcW w:w="477" w:type="pct"/>
            <w:shd w:val="clear" w:color="000000" w:fill="FFFFFF"/>
            <w:vAlign w:val="center"/>
          </w:tcPr>
          <w:p w14:paraId="1CEB5527">
            <w:pPr>
              <w:jc w:val="center"/>
              <w:rPr>
                <w:rFonts w:hint="eastAsia" w:ascii="宋体" w:hAnsi="宋体" w:cs="宋体"/>
                <w:color w:val="auto"/>
                <w:sz w:val="22"/>
                <w:szCs w:val="22"/>
                <w:highlight w:val="none"/>
              </w:rPr>
            </w:pPr>
          </w:p>
        </w:tc>
      </w:tr>
      <w:tr w14:paraId="6DE9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2DEA120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w:t>
            </w:r>
          </w:p>
        </w:tc>
        <w:tc>
          <w:tcPr>
            <w:tcW w:w="603" w:type="pct"/>
            <w:shd w:val="clear" w:color="000000" w:fill="FFFFFF"/>
            <w:vAlign w:val="center"/>
          </w:tcPr>
          <w:p w14:paraId="2725659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6E2AAF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呼吸训练器（高频振荡排痰仪)</w:t>
            </w:r>
          </w:p>
        </w:tc>
        <w:tc>
          <w:tcPr>
            <w:tcW w:w="339" w:type="pct"/>
            <w:shd w:val="clear" w:color="000000" w:fill="FFFFFF"/>
            <w:vAlign w:val="center"/>
          </w:tcPr>
          <w:p w14:paraId="7FED7EE4">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298CDEA3">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BAFCDC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36000.00</w:t>
            </w:r>
          </w:p>
        </w:tc>
        <w:tc>
          <w:tcPr>
            <w:tcW w:w="920" w:type="dxa"/>
            <w:shd w:val="clear" w:color="000000" w:fill="FFFFFF"/>
            <w:vAlign w:val="center"/>
          </w:tcPr>
          <w:p w14:paraId="52519672">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36000.00</w:t>
            </w:r>
          </w:p>
        </w:tc>
        <w:tc>
          <w:tcPr>
            <w:tcW w:w="477" w:type="pct"/>
            <w:shd w:val="clear" w:color="000000" w:fill="FFFFFF"/>
            <w:vAlign w:val="center"/>
          </w:tcPr>
          <w:p w14:paraId="2AAC6179">
            <w:pPr>
              <w:jc w:val="center"/>
              <w:rPr>
                <w:rFonts w:hint="eastAsia" w:ascii="宋体" w:hAnsi="宋体" w:cs="宋体"/>
                <w:color w:val="auto"/>
                <w:sz w:val="22"/>
                <w:szCs w:val="22"/>
                <w:highlight w:val="none"/>
              </w:rPr>
            </w:pPr>
          </w:p>
        </w:tc>
      </w:tr>
      <w:tr w14:paraId="3631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7691EAA">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w:t>
            </w:r>
          </w:p>
        </w:tc>
        <w:tc>
          <w:tcPr>
            <w:tcW w:w="603" w:type="pct"/>
            <w:shd w:val="clear" w:color="000000" w:fill="FFFFFF"/>
            <w:vAlign w:val="center"/>
          </w:tcPr>
          <w:p w14:paraId="492956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636C5B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呼吸机训练器（阀值负荷型）</w:t>
            </w:r>
          </w:p>
        </w:tc>
        <w:tc>
          <w:tcPr>
            <w:tcW w:w="339" w:type="pct"/>
            <w:shd w:val="clear" w:color="000000" w:fill="FFFFFF"/>
            <w:vAlign w:val="center"/>
          </w:tcPr>
          <w:p w14:paraId="5A1B8463">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446" w:type="pct"/>
            <w:shd w:val="clear" w:color="000000" w:fill="FFFFFF"/>
            <w:vAlign w:val="center"/>
          </w:tcPr>
          <w:p w14:paraId="71E9F08B">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659DBA21">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1000.00</w:t>
            </w:r>
          </w:p>
        </w:tc>
        <w:tc>
          <w:tcPr>
            <w:tcW w:w="477" w:type="pct"/>
            <w:shd w:val="clear" w:color="000000" w:fill="FFFFFF"/>
            <w:vAlign w:val="center"/>
          </w:tcPr>
          <w:p w14:paraId="7442617C">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5000.00</w:t>
            </w:r>
          </w:p>
        </w:tc>
        <w:tc>
          <w:tcPr>
            <w:tcW w:w="477" w:type="pct"/>
            <w:shd w:val="clear" w:color="000000" w:fill="FFFFFF"/>
            <w:vAlign w:val="center"/>
          </w:tcPr>
          <w:p w14:paraId="6C5A5306">
            <w:pPr>
              <w:jc w:val="center"/>
              <w:rPr>
                <w:rFonts w:hint="eastAsia" w:ascii="宋体" w:hAnsi="宋体" w:cs="宋体"/>
                <w:color w:val="auto"/>
                <w:sz w:val="22"/>
                <w:szCs w:val="22"/>
                <w:highlight w:val="none"/>
              </w:rPr>
            </w:pPr>
          </w:p>
        </w:tc>
      </w:tr>
      <w:tr w14:paraId="2A26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06FA34F">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13</w:t>
            </w:r>
          </w:p>
        </w:tc>
        <w:tc>
          <w:tcPr>
            <w:tcW w:w="603" w:type="pct"/>
            <w:shd w:val="clear" w:color="000000" w:fill="FFFFFF"/>
            <w:vAlign w:val="center"/>
          </w:tcPr>
          <w:p w14:paraId="4D8E08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74D1DFB">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呼吸机训练器（容量型）</w:t>
            </w:r>
          </w:p>
        </w:tc>
        <w:tc>
          <w:tcPr>
            <w:tcW w:w="339" w:type="pct"/>
            <w:shd w:val="clear" w:color="000000" w:fill="FFFFFF"/>
            <w:vAlign w:val="center"/>
          </w:tcPr>
          <w:p w14:paraId="4A56A153">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446" w:type="pct"/>
            <w:shd w:val="clear" w:color="000000" w:fill="FFFFFF"/>
            <w:vAlign w:val="center"/>
          </w:tcPr>
          <w:p w14:paraId="6DFE34C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C4CF3E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300.00</w:t>
            </w:r>
          </w:p>
        </w:tc>
        <w:tc>
          <w:tcPr>
            <w:tcW w:w="477" w:type="pct"/>
            <w:shd w:val="clear" w:color="000000" w:fill="FFFFFF"/>
            <w:vAlign w:val="center"/>
          </w:tcPr>
          <w:p w14:paraId="1566FAF2">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1500.00</w:t>
            </w:r>
          </w:p>
        </w:tc>
        <w:tc>
          <w:tcPr>
            <w:tcW w:w="477" w:type="pct"/>
            <w:shd w:val="clear" w:color="000000" w:fill="FFFFFF"/>
            <w:vAlign w:val="center"/>
          </w:tcPr>
          <w:p w14:paraId="2939D4BE">
            <w:pPr>
              <w:jc w:val="center"/>
              <w:rPr>
                <w:rFonts w:hint="eastAsia" w:ascii="宋体" w:hAnsi="宋体" w:cs="宋体"/>
                <w:color w:val="auto"/>
                <w:sz w:val="22"/>
                <w:szCs w:val="22"/>
                <w:highlight w:val="none"/>
              </w:rPr>
            </w:pPr>
          </w:p>
        </w:tc>
      </w:tr>
      <w:tr w14:paraId="50E1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6AA701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14</w:t>
            </w:r>
          </w:p>
        </w:tc>
        <w:tc>
          <w:tcPr>
            <w:tcW w:w="603" w:type="pct"/>
            <w:shd w:val="clear" w:color="000000" w:fill="FFFFFF"/>
            <w:vAlign w:val="center"/>
          </w:tcPr>
          <w:p w14:paraId="5AA7D08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E31510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高流量湿化氧疗仪</w:t>
            </w:r>
          </w:p>
        </w:tc>
        <w:tc>
          <w:tcPr>
            <w:tcW w:w="608" w:type="dxa"/>
            <w:shd w:val="clear" w:color="000000" w:fill="FFFFFF"/>
            <w:vAlign w:val="center"/>
          </w:tcPr>
          <w:p w14:paraId="309CC083">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7FA5DB29">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5E9DF0C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49000.00</w:t>
            </w:r>
          </w:p>
        </w:tc>
        <w:tc>
          <w:tcPr>
            <w:tcW w:w="477" w:type="pct"/>
            <w:shd w:val="clear" w:color="000000" w:fill="FFFFFF"/>
            <w:vAlign w:val="center"/>
          </w:tcPr>
          <w:p w14:paraId="5B34E39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49000.00</w:t>
            </w:r>
          </w:p>
        </w:tc>
        <w:tc>
          <w:tcPr>
            <w:tcW w:w="477" w:type="pct"/>
            <w:shd w:val="clear" w:color="000000" w:fill="FFFFFF"/>
            <w:vAlign w:val="center"/>
          </w:tcPr>
          <w:p w14:paraId="74380B19">
            <w:pPr>
              <w:jc w:val="center"/>
              <w:rPr>
                <w:rFonts w:hint="eastAsia" w:ascii="宋体" w:hAnsi="宋体" w:cs="宋体"/>
                <w:color w:val="auto"/>
                <w:sz w:val="22"/>
                <w:szCs w:val="22"/>
                <w:highlight w:val="none"/>
              </w:rPr>
            </w:pPr>
          </w:p>
        </w:tc>
      </w:tr>
      <w:tr w14:paraId="4698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C4FF0E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603" w:type="pct"/>
            <w:shd w:val="clear" w:color="000000" w:fill="FFFFFF"/>
            <w:vAlign w:val="center"/>
          </w:tcPr>
          <w:p w14:paraId="1648647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6C78215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无创呼吸机</w:t>
            </w:r>
          </w:p>
        </w:tc>
        <w:tc>
          <w:tcPr>
            <w:tcW w:w="339" w:type="pct"/>
            <w:shd w:val="clear" w:color="000000" w:fill="FFFFFF"/>
            <w:vAlign w:val="center"/>
          </w:tcPr>
          <w:p w14:paraId="045C9DFA">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0ED8A7F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763A74F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79000.00</w:t>
            </w:r>
          </w:p>
        </w:tc>
        <w:tc>
          <w:tcPr>
            <w:tcW w:w="477" w:type="pct"/>
            <w:shd w:val="clear" w:color="000000" w:fill="FFFFFF"/>
            <w:vAlign w:val="center"/>
          </w:tcPr>
          <w:p w14:paraId="4E792F48">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79000.00</w:t>
            </w:r>
          </w:p>
        </w:tc>
        <w:tc>
          <w:tcPr>
            <w:tcW w:w="477" w:type="pct"/>
            <w:shd w:val="clear" w:color="000000" w:fill="FFFFFF"/>
            <w:vAlign w:val="center"/>
          </w:tcPr>
          <w:p w14:paraId="34331D82">
            <w:pPr>
              <w:jc w:val="center"/>
              <w:rPr>
                <w:rFonts w:hint="eastAsia" w:ascii="宋体" w:hAnsi="宋体" w:cs="宋体"/>
                <w:color w:val="auto"/>
                <w:sz w:val="22"/>
                <w:szCs w:val="22"/>
                <w:highlight w:val="none"/>
              </w:rPr>
            </w:pPr>
          </w:p>
        </w:tc>
      </w:tr>
      <w:tr w14:paraId="1230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6C5F23F">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16</w:t>
            </w:r>
          </w:p>
        </w:tc>
        <w:tc>
          <w:tcPr>
            <w:tcW w:w="603" w:type="pct"/>
            <w:shd w:val="clear" w:color="000000" w:fill="FFFFFF"/>
            <w:vAlign w:val="center"/>
          </w:tcPr>
          <w:p w14:paraId="60EF7768">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4BF4EA2">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除颤监护仪</w:t>
            </w:r>
          </w:p>
        </w:tc>
        <w:tc>
          <w:tcPr>
            <w:tcW w:w="339" w:type="pct"/>
            <w:shd w:val="clear" w:color="000000" w:fill="FFFFFF"/>
            <w:vAlign w:val="center"/>
          </w:tcPr>
          <w:p w14:paraId="615F19BC">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4F7102DB">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B3A3C8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50000.00</w:t>
            </w:r>
          </w:p>
        </w:tc>
        <w:tc>
          <w:tcPr>
            <w:tcW w:w="477" w:type="pct"/>
            <w:shd w:val="clear" w:color="000000" w:fill="FFFFFF"/>
            <w:vAlign w:val="center"/>
          </w:tcPr>
          <w:p w14:paraId="0A0DB17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50000.00</w:t>
            </w:r>
          </w:p>
        </w:tc>
        <w:tc>
          <w:tcPr>
            <w:tcW w:w="477" w:type="pct"/>
            <w:shd w:val="clear" w:color="000000" w:fill="FFFFFF"/>
            <w:vAlign w:val="center"/>
          </w:tcPr>
          <w:p w14:paraId="3A9FA5C4">
            <w:pPr>
              <w:jc w:val="center"/>
              <w:rPr>
                <w:rFonts w:hint="eastAsia" w:ascii="宋体" w:hAnsi="宋体" w:cs="宋体"/>
                <w:color w:val="auto"/>
                <w:sz w:val="22"/>
                <w:szCs w:val="22"/>
                <w:highlight w:val="none"/>
              </w:rPr>
            </w:pPr>
          </w:p>
        </w:tc>
      </w:tr>
      <w:tr w14:paraId="60C2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165092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17</w:t>
            </w:r>
          </w:p>
        </w:tc>
        <w:tc>
          <w:tcPr>
            <w:tcW w:w="603" w:type="pct"/>
            <w:shd w:val="clear" w:color="000000" w:fill="FFFFFF"/>
            <w:vAlign w:val="center"/>
          </w:tcPr>
          <w:p w14:paraId="6FD9360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18654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心电图机</w:t>
            </w:r>
          </w:p>
        </w:tc>
        <w:tc>
          <w:tcPr>
            <w:tcW w:w="339" w:type="pct"/>
            <w:shd w:val="clear" w:color="000000" w:fill="FFFFFF"/>
            <w:vAlign w:val="center"/>
          </w:tcPr>
          <w:p w14:paraId="6810BF8F">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2AF79936">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0F7473B9">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22000.00</w:t>
            </w:r>
          </w:p>
        </w:tc>
        <w:tc>
          <w:tcPr>
            <w:tcW w:w="477" w:type="pct"/>
            <w:shd w:val="clear" w:color="000000" w:fill="FFFFFF"/>
            <w:vAlign w:val="center"/>
          </w:tcPr>
          <w:p w14:paraId="102D592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22000.00</w:t>
            </w:r>
          </w:p>
        </w:tc>
        <w:tc>
          <w:tcPr>
            <w:tcW w:w="477" w:type="pct"/>
            <w:shd w:val="clear" w:color="000000" w:fill="FFFFFF"/>
            <w:vAlign w:val="center"/>
          </w:tcPr>
          <w:p w14:paraId="7061B411">
            <w:pPr>
              <w:jc w:val="center"/>
              <w:rPr>
                <w:rFonts w:hint="eastAsia" w:ascii="宋体" w:hAnsi="宋体" w:cs="宋体"/>
                <w:color w:val="auto"/>
                <w:sz w:val="22"/>
                <w:szCs w:val="22"/>
                <w:highlight w:val="none"/>
              </w:rPr>
            </w:pPr>
          </w:p>
        </w:tc>
      </w:tr>
      <w:tr w14:paraId="5A45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3E90981E">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18</w:t>
            </w:r>
          </w:p>
        </w:tc>
        <w:tc>
          <w:tcPr>
            <w:tcW w:w="603" w:type="pct"/>
            <w:shd w:val="clear" w:color="000000" w:fill="FFFFFF"/>
            <w:vAlign w:val="center"/>
          </w:tcPr>
          <w:p w14:paraId="4D3F006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C982C68">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血氧监测仪、快速血糖监测仪</w:t>
            </w:r>
          </w:p>
        </w:tc>
        <w:tc>
          <w:tcPr>
            <w:tcW w:w="339" w:type="pct"/>
            <w:shd w:val="clear" w:color="000000" w:fill="FFFFFF"/>
            <w:vAlign w:val="center"/>
          </w:tcPr>
          <w:p w14:paraId="60B90516">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55328E6B">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CF7449E">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3000.00</w:t>
            </w:r>
          </w:p>
        </w:tc>
        <w:tc>
          <w:tcPr>
            <w:tcW w:w="477" w:type="pct"/>
            <w:shd w:val="clear" w:color="000000" w:fill="FFFFFF"/>
            <w:vAlign w:val="center"/>
          </w:tcPr>
          <w:p w14:paraId="611836B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3000.00</w:t>
            </w:r>
          </w:p>
        </w:tc>
        <w:tc>
          <w:tcPr>
            <w:tcW w:w="477" w:type="pct"/>
            <w:shd w:val="clear" w:color="000000" w:fill="FFFFFF"/>
            <w:vAlign w:val="center"/>
          </w:tcPr>
          <w:p w14:paraId="7FB91F26">
            <w:pPr>
              <w:jc w:val="center"/>
              <w:rPr>
                <w:rFonts w:hint="eastAsia" w:ascii="宋体" w:hAnsi="宋体" w:cs="宋体"/>
                <w:color w:val="auto"/>
                <w:sz w:val="22"/>
                <w:szCs w:val="22"/>
                <w:highlight w:val="none"/>
              </w:rPr>
            </w:pPr>
          </w:p>
        </w:tc>
      </w:tr>
      <w:tr w14:paraId="1E5B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5FE254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19</w:t>
            </w:r>
          </w:p>
        </w:tc>
        <w:tc>
          <w:tcPr>
            <w:tcW w:w="603" w:type="pct"/>
            <w:shd w:val="clear" w:color="000000" w:fill="FFFFFF"/>
            <w:vAlign w:val="center"/>
          </w:tcPr>
          <w:p w14:paraId="54A5A10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654C354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体外反搏仪（三气囊式）</w:t>
            </w:r>
          </w:p>
        </w:tc>
        <w:tc>
          <w:tcPr>
            <w:tcW w:w="608" w:type="dxa"/>
            <w:shd w:val="clear" w:color="000000" w:fill="FFFFFF"/>
            <w:vAlign w:val="center"/>
          </w:tcPr>
          <w:p w14:paraId="6FCBFC1C">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7BA6EC07">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944F323">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390000.00</w:t>
            </w:r>
          </w:p>
        </w:tc>
        <w:tc>
          <w:tcPr>
            <w:tcW w:w="477" w:type="pct"/>
            <w:shd w:val="clear" w:color="000000" w:fill="FFFFFF"/>
            <w:vAlign w:val="center"/>
          </w:tcPr>
          <w:p w14:paraId="3CF37A7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390000.00</w:t>
            </w:r>
          </w:p>
        </w:tc>
        <w:tc>
          <w:tcPr>
            <w:tcW w:w="477" w:type="pct"/>
            <w:shd w:val="clear" w:color="000000" w:fill="FFFFFF"/>
            <w:vAlign w:val="center"/>
          </w:tcPr>
          <w:p w14:paraId="27D699B5">
            <w:pPr>
              <w:jc w:val="center"/>
              <w:rPr>
                <w:rFonts w:hint="eastAsia" w:ascii="宋体" w:hAnsi="宋体" w:cs="宋体"/>
                <w:color w:val="auto"/>
                <w:sz w:val="22"/>
                <w:szCs w:val="22"/>
                <w:highlight w:val="none"/>
              </w:rPr>
            </w:pPr>
          </w:p>
        </w:tc>
      </w:tr>
      <w:tr w14:paraId="1BC8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4F67724">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w:t>
            </w:r>
          </w:p>
        </w:tc>
        <w:tc>
          <w:tcPr>
            <w:tcW w:w="603" w:type="pct"/>
            <w:shd w:val="clear" w:color="000000" w:fill="FFFFFF"/>
            <w:vAlign w:val="center"/>
          </w:tcPr>
          <w:p w14:paraId="605B1F7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3F0A7E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等离子空气消毒机（移动式）</w:t>
            </w:r>
          </w:p>
        </w:tc>
        <w:tc>
          <w:tcPr>
            <w:tcW w:w="608" w:type="dxa"/>
            <w:shd w:val="clear" w:color="000000" w:fill="FFFFFF"/>
            <w:vAlign w:val="center"/>
          </w:tcPr>
          <w:p w14:paraId="1D235FEB">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w:t>
            </w:r>
          </w:p>
        </w:tc>
        <w:tc>
          <w:tcPr>
            <w:tcW w:w="812" w:type="dxa"/>
            <w:shd w:val="clear" w:color="000000" w:fill="FFFFFF"/>
            <w:vAlign w:val="center"/>
          </w:tcPr>
          <w:p w14:paraId="490C8D7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F3D152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9000.00</w:t>
            </w:r>
          </w:p>
        </w:tc>
        <w:tc>
          <w:tcPr>
            <w:tcW w:w="477" w:type="pct"/>
            <w:shd w:val="clear" w:color="000000" w:fill="FFFFFF"/>
            <w:vAlign w:val="center"/>
          </w:tcPr>
          <w:p w14:paraId="20DCCE14">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18000.00</w:t>
            </w:r>
          </w:p>
        </w:tc>
        <w:tc>
          <w:tcPr>
            <w:tcW w:w="477" w:type="pct"/>
            <w:shd w:val="clear" w:color="000000" w:fill="FFFFFF"/>
            <w:vAlign w:val="center"/>
          </w:tcPr>
          <w:p w14:paraId="0AA4D271">
            <w:pPr>
              <w:jc w:val="center"/>
              <w:rPr>
                <w:rFonts w:hint="eastAsia" w:ascii="宋体" w:hAnsi="宋体" w:cs="宋体"/>
                <w:color w:val="auto"/>
                <w:sz w:val="22"/>
                <w:szCs w:val="22"/>
                <w:highlight w:val="none"/>
              </w:rPr>
            </w:pPr>
          </w:p>
        </w:tc>
      </w:tr>
      <w:tr w14:paraId="59BE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4B453A1B">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21</w:t>
            </w:r>
          </w:p>
        </w:tc>
        <w:tc>
          <w:tcPr>
            <w:tcW w:w="603" w:type="pct"/>
            <w:shd w:val="clear" w:color="000000" w:fill="FFFFFF"/>
            <w:vAlign w:val="center"/>
          </w:tcPr>
          <w:p w14:paraId="6A85A106">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00E125F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呼吸神经肌肉刺激仪</w:t>
            </w:r>
          </w:p>
        </w:tc>
        <w:tc>
          <w:tcPr>
            <w:tcW w:w="608" w:type="dxa"/>
            <w:shd w:val="clear" w:color="000000" w:fill="FFFFFF"/>
            <w:vAlign w:val="center"/>
          </w:tcPr>
          <w:p w14:paraId="5F175C5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793D7084">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2C69C075">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20000.00</w:t>
            </w:r>
          </w:p>
        </w:tc>
        <w:tc>
          <w:tcPr>
            <w:tcW w:w="477" w:type="pct"/>
            <w:shd w:val="clear" w:color="000000" w:fill="FFFFFF"/>
            <w:vAlign w:val="center"/>
          </w:tcPr>
          <w:p w14:paraId="03551370">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20000.00</w:t>
            </w:r>
          </w:p>
        </w:tc>
        <w:tc>
          <w:tcPr>
            <w:tcW w:w="477" w:type="pct"/>
            <w:shd w:val="clear" w:color="000000" w:fill="FFFFFF"/>
            <w:vAlign w:val="center"/>
          </w:tcPr>
          <w:p w14:paraId="2E8BD564">
            <w:pPr>
              <w:jc w:val="center"/>
              <w:rPr>
                <w:rFonts w:hint="eastAsia" w:ascii="宋体" w:hAnsi="宋体" w:cs="宋体"/>
                <w:color w:val="auto"/>
                <w:sz w:val="22"/>
                <w:szCs w:val="22"/>
                <w:highlight w:val="none"/>
              </w:rPr>
            </w:pPr>
          </w:p>
        </w:tc>
      </w:tr>
      <w:tr w14:paraId="38D0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25F5694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22</w:t>
            </w:r>
          </w:p>
        </w:tc>
        <w:tc>
          <w:tcPr>
            <w:tcW w:w="603" w:type="pct"/>
            <w:shd w:val="clear" w:color="000000" w:fill="FFFFFF"/>
            <w:vAlign w:val="center"/>
          </w:tcPr>
          <w:p w14:paraId="4179F7F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31609DC6">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动态血压</w:t>
            </w:r>
          </w:p>
        </w:tc>
        <w:tc>
          <w:tcPr>
            <w:tcW w:w="608" w:type="dxa"/>
            <w:shd w:val="clear" w:color="000000" w:fill="FFFFFF"/>
            <w:vAlign w:val="center"/>
          </w:tcPr>
          <w:p w14:paraId="0ECD95D6">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w:t>
            </w:r>
          </w:p>
        </w:tc>
        <w:tc>
          <w:tcPr>
            <w:tcW w:w="812" w:type="dxa"/>
            <w:shd w:val="clear" w:color="000000" w:fill="FFFFFF"/>
            <w:vAlign w:val="center"/>
          </w:tcPr>
          <w:p w14:paraId="08B5E5E5">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CF2E997">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14000.00</w:t>
            </w:r>
          </w:p>
        </w:tc>
        <w:tc>
          <w:tcPr>
            <w:tcW w:w="477" w:type="pct"/>
            <w:shd w:val="clear" w:color="000000" w:fill="FFFFFF"/>
            <w:vAlign w:val="center"/>
          </w:tcPr>
          <w:p w14:paraId="378B4A58">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28000.00</w:t>
            </w:r>
          </w:p>
        </w:tc>
        <w:tc>
          <w:tcPr>
            <w:tcW w:w="477" w:type="pct"/>
            <w:shd w:val="clear" w:color="000000" w:fill="FFFFFF"/>
            <w:vAlign w:val="center"/>
          </w:tcPr>
          <w:p w14:paraId="589049F9">
            <w:pPr>
              <w:jc w:val="center"/>
              <w:rPr>
                <w:rFonts w:hint="eastAsia" w:ascii="宋体" w:hAnsi="宋体" w:cs="宋体"/>
                <w:color w:val="auto"/>
                <w:sz w:val="22"/>
                <w:szCs w:val="22"/>
                <w:highlight w:val="none"/>
              </w:rPr>
            </w:pPr>
          </w:p>
        </w:tc>
      </w:tr>
      <w:tr w14:paraId="2784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CDDE7B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w:t>
            </w:r>
          </w:p>
        </w:tc>
        <w:tc>
          <w:tcPr>
            <w:tcW w:w="603" w:type="pct"/>
            <w:shd w:val="clear" w:color="000000" w:fill="FFFFFF"/>
            <w:vAlign w:val="center"/>
          </w:tcPr>
          <w:p w14:paraId="3DFBF27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06173A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急救车</w:t>
            </w:r>
          </w:p>
        </w:tc>
        <w:tc>
          <w:tcPr>
            <w:tcW w:w="608" w:type="dxa"/>
            <w:shd w:val="clear" w:color="000000" w:fill="FFFFFF"/>
            <w:vAlign w:val="center"/>
          </w:tcPr>
          <w:p w14:paraId="5AE8E053">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647FAD90">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57F0BDB9">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5000.00</w:t>
            </w:r>
          </w:p>
        </w:tc>
        <w:tc>
          <w:tcPr>
            <w:tcW w:w="477" w:type="pct"/>
            <w:shd w:val="clear" w:color="000000" w:fill="FFFFFF"/>
            <w:vAlign w:val="center"/>
          </w:tcPr>
          <w:p w14:paraId="037AA32B">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5000.00</w:t>
            </w:r>
          </w:p>
        </w:tc>
        <w:tc>
          <w:tcPr>
            <w:tcW w:w="477" w:type="pct"/>
            <w:shd w:val="clear" w:color="000000" w:fill="FFFFFF"/>
            <w:vAlign w:val="center"/>
          </w:tcPr>
          <w:p w14:paraId="447CCF16">
            <w:pPr>
              <w:jc w:val="center"/>
              <w:rPr>
                <w:rFonts w:hint="eastAsia" w:ascii="宋体" w:hAnsi="宋体" w:cs="宋体"/>
                <w:color w:val="auto"/>
                <w:sz w:val="22"/>
                <w:szCs w:val="22"/>
                <w:highlight w:val="none"/>
              </w:rPr>
            </w:pPr>
          </w:p>
        </w:tc>
      </w:tr>
      <w:tr w14:paraId="5CDC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522" w:type="pct"/>
            <w:gridSpan w:val="7"/>
            <w:shd w:val="clear" w:color="000000" w:fill="FFFFFF"/>
            <w:vAlign w:val="center"/>
          </w:tcPr>
          <w:p w14:paraId="6E4E2760">
            <w:pPr>
              <w:rPr>
                <w:rFonts w:hint="eastAsia" w:ascii="宋体" w:hAnsi="宋体" w:eastAsia="宋体"/>
                <w:b/>
                <w:bCs/>
                <w:color w:val="auto"/>
                <w:szCs w:val="21"/>
                <w:highlight w:val="none"/>
                <w:lang w:eastAsia="zh-CN"/>
              </w:rPr>
            </w:pPr>
            <w:r>
              <w:rPr>
                <w:rFonts w:hint="eastAsia" w:ascii="宋体" w:hAnsi="宋体"/>
                <w:b/>
                <w:bCs/>
                <w:color w:val="auto"/>
                <w:szCs w:val="21"/>
                <w:highlight w:val="none"/>
              </w:rPr>
              <w:t>核心产品：</w:t>
            </w:r>
            <w:r>
              <w:rPr>
                <w:rFonts w:hint="eastAsia" w:ascii="宋体" w:hAnsi="宋体" w:cs="宋体"/>
                <w:b/>
                <w:bCs/>
                <w:color w:val="auto"/>
                <w:sz w:val="22"/>
                <w:szCs w:val="22"/>
                <w:highlight w:val="none"/>
                <w:lang w:val="en-US" w:eastAsia="zh-CN"/>
              </w:rPr>
              <w:t>运动心肺功能测试系统（包括肺功能）</w:t>
            </w:r>
          </w:p>
        </w:tc>
        <w:tc>
          <w:tcPr>
            <w:tcW w:w="477" w:type="pct"/>
            <w:shd w:val="clear" w:color="000000" w:fill="FFFFFF"/>
            <w:vAlign w:val="center"/>
          </w:tcPr>
          <w:p w14:paraId="6015EA9D">
            <w:pPr>
              <w:rPr>
                <w:rFonts w:hint="eastAsia" w:ascii="宋体" w:hAnsi="宋体"/>
                <w:b/>
                <w:bCs/>
                <w:color w:val="auto"/>
                <w:szCs w:val="21"/>
                <w:highlight w:val="none"/>
              </w:rPr>
            </w:pPr>
          </w:p>
        </w:tc>
      </w:tr>
      <w:tr w14:paraId="426E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522" w:type="pct"/>
            <w:gridSpan w:val="7"/>
            <w:shd w:val="clear" w:color="000000" w:fill="FFFFFF"/>
            <w:vAlign w:val="center"/>
          </w:tcPr>
          <w:p w14:paraId="68A92BF1">
            <w:pPr>
              <w:jc w:val="left"/>
              <w:rPr>
                <w:rFonts w:hint="eastAsia" w:ascii="宋体" w:hAnsi="宋体"/>
                <w:b/>
                <w:bCs/>
                <w:color w:val="auto"/>
                <w:szCs w:val="21"/>
                <w:highlight w:val="none"/>
              </w:rPr>
            </w:pPr>
            <w:r>
              <w:rPr>
                <w:rFonts w:hint="eastAsia" w:ascii="宋体" w:hAnsi="宋体" w:cs="Arial"/>
                <w:b/>
                <w:color w:val="auto"/>
                <w:szCs w:val="18"/>
                <w:highlight w:val="none"/>
              </w:rPr>
              <w:t>采购标的物所属行业：</w:t>
            </w:r>
            <w:r>
              <w:rPr>
                <w:rFonts w:hint="eastAsia" w:ascii="宋体" w:hAnsi="宋体"/>
                <w:b/>
                <w:bCs/>
                <w:color w:val="auto"/>
                <w:szCs w:val="21"/>
                <w:highlight w:val="none"/>
              </w:rPr>
              <w:t>（二）工业</w:t>
            </w:r>
          </w:p>
        </w:tc>
        <w:tc>
          <w:tcPr>
            <w:tcW w:w="477" w:type="pct"/>
            <w:shd w:val="clear" w:color="000000" w:fill="FFFFFF"/>
            <w:vAlign w:val="center"/>
          </w:tcPr>
          <w:p w14:paraId="2038C7E4">
            <w:pPr>
              <w:jc w:val="left"/>
              <w:rPr>
                <w:rFonts w:hint="eastAsia" w:ascii="宋体" w:hAnsi="宋体" w:cs="Arial"/>
                <w:b/>
                <w:color w:val="auto"/>
                <w:szCs w:val="18"/>
                <w:highlight w:val="none"/>
              </w:rPr>
            </w:pPr>
          </w:p>
        </w:tc>
      </w:tr>
    </w:tbl>
    <w:p w14:paraId="6CB02BFB">
      <w:pPr>
        <w:adjustRightInd w:val="0"/>
        <w:snapToGrid w:val="0"/>
        <w:spacing w:line="360" w:lineRule="auto"/>
        <w:rPr>
          <w:rFonts w:hint="eastAsia" w:hAnsi="宋体"/>
          <w:color w:val="auto"/>
          <w:szCs w:val="21"/>
          <w:highlight w:val="none"/>
        </w:rPr>
      </w:pPr>
      <w:r>
        <w:rPr>
          <w:rFonts w:hint="eastAsia" w:hAnsi="宋体"/>
          <w:color w:val="auto"/>
          <w:szCs w:val="21"/>
          <w:highlight w:val="none"/>
        </w:rPr>
        <w:t>说明：</w:t>
      </w:r>
    </w:p>
    <w:p w14:paraId="3D943545">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1.请投标人对招标文件第五章《项目需求及技术要求》中的技术参数要求作出全面、真实的反映，投标人除如实填写技术规格偏离表外，投标文件中必须提供最新技术支持资料支持参数技术规格偏离表的应答（</w:t>
      </w:r>
      <w:r>
        <w:rPr>
          <w:rFonts w:hint="eastAsia"/>
          <w:color w:val="auto"/>
          <w:highlight w:val="none"/>
        </w:rPr>
        <w:t>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ascii="宋体" w:hAnsi="宋体"/>
          <w:color w:val="auto"/>
          <w:szCs w:val="21"/>
          <w:highlight w:val="none"/>
        </w:rPr>
        <w:t>）。若投标文件中最新技术支持资料参数与技术规格偏离表应答不符或无技术资料应答，而投标人又未在投标文件中作出说明和解释的，视为不响应该条技术参数要求。</w:t>
      </w:r>
    </w:p>
    <w:p w14:paraId="3088C1FE">
      <w:pPr>
        <w:snapToGrid w:val="0"/>
        <w:spacing w:line="360" w:lineRule="auto"/>
        <w:rPr>
          <w:rFonts w:hint="eastAsia"/>
          <w:color w:val="auto"/>
          <w:highlight w:val="none"/>
        </w:rPr>
      </w:pPr>
      <w:r>
        <w:rPr>
          <w:rFonts w:hint="eastAsia" w:ascii="宋体" w:hAnsi="宋体"/>
          <w:color w:val="auto"/>
          <w:szCs w:val="21"/>
          <w:highlight w:val="none"/>
        </w:rPr>
        <w:t>★2.投标人必须对所投包内所有产品进行完整报价，不得缺漏，否则按不实质性响应招标文件要求处理。</w:t>
      </w:r>
    </w:p>
    <w:p w14:paraId="0986FE6D">
      <w:pPr>
        <w:pStyle w:val="19"/>
        <w:rPr>
          <w:rFonts w:hint="eastAsia"/>
          <w:color w:val="auto"/>
          <w:highlight w:val="none"/>
        </w:rPr>
      </w:pPr>
    </w:p>
    <w:p w14:paraId="5DC393C7">
      <w:pPr>
        <w:rPr>
          <w:rFonts w:hint="eastAsia"/>
          <w:b/>
          <w:color w:val="auto"/>
          <w:highlight w:val="none"/>
        </w:rPr>
      </w:pPr>
      <w:r>
        <w:rPr>
          <w:rFonts w:hint="eastAsia"/>
          <w:b/>
          <w:color w:val="auto"/>
          <w:highlight w:val="none"/>
        </w:rPr>
        <w:br w:type="page"/>
      </w:r>
    </w:p>
    <w:p w14:paraId="1ADB4436">
      <w:pPr>
        <w:pStyle w:val="19"/>
        <w:outlineLvl w:val="1"/>
        <w:rPr>
          <w:rFonts w:hint="eastAsia"/>
          <w:b/>
          <w:color w:val="auto"/>
          <w:highlight w:val="none"/>
        </w:rPr>
      </w:pPr>
      <w:r>
        <w:rPr>
          <w:rFonts w:hint="eastAsia"/>
          <w:b/>
          <w:color w:val="auto"/>
          <w:highlight w:val="none"/>
        </w:rPr>
        <w:t>二、技术要求</w:t>
      </w:r>
    </w:p>
    <w:p w14:paraId="6E80DBA6">
      <w:pPr>
        <w:spacing w:line="360" w:lineRule="auto"/>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（一）</w:t>
      </w:r>
      <w:r>
        <w:rPr>
          <w:rFonts w:hint="eastAsia" w:ascii="宋体" w:hAnsi="宋体" w:cs="宋体"/>
          <w:b/>
          <w:bCs/>
          <w:color w:val="auto"/>
          <w:szCs w:val="21"/>
          <w:highlight w:val="none"/>
          <w:lang w:val="en-US" w:eastAsia="zh-CN"/>
        </w:rPr>
        <w:t>运动心肺功能测试系统（包括肺功能）</w:t>
      </w:r>
    </w:p>
    <w:p w14:paraId="078C101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（1）测试功能：氧代谢测定、营养代谢和能量消耗测定、流量容积环、慢肺活量、最大自主通气量、舒张试验，肺内气体分布测定，满足临床诊断和科研需求。</w:t>
      </w:r>
    </w:p>
    <w:p w14:paraId="313652C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（2）主要测试参数：</w:t>
      </w:r>
    </w:p>
    <w:p w14:paraId="2B49E3C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1、慢通气功能：最大肺活量VCmax、潮气量VT、呼吸频率BF, 每分通气量MV、补呼气量ERV、深吸气量IC等。</w:t>
      </w:r>
    </w:p>
    <w:p w14:paraId="7112BDD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2、流量容积环和用力时间肺活量：用力肺活量FVC、0.75秒量FEV0.75、一秒量FEV1、峰流量PEF、25%呼气流量MEF25、MEF50、MEF75、中段呼气流量MEF25-75、一秒率FEV1%FVC等。</w:t>
      </w:r>
    </w:p>
    <w:p w14:paraId="307C42B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3、每分最大通气量：最大通气量MVV、 FEV1*30、通气储备VR%等。</w:t>
      </w:r>
    </w:p>
    <w:p w14:paraId="28DEA0E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4、舒张试验：舒张试验。</w:t>
      </w:r>
    </w:p>
    <w:p w14:paraId="25F9DE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5、氧代谢测定：最大摄氧量VO2max、摄氧量VO2、二氧化碳排出量VCO2、无氧阈AT、通气量VE、呼吸交换率RER、氧脉搏O2Plus、心率储备HRR、呼吸储备BR。</w:t>
      </w:r>
    </w:p>
    <w:p w14:paraId="2D35DAC1">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6、营养代谢和能量消耗测定：基础代谢REE、碳水化合物CHO、蛋白质PRO、脂类FAT。</w:t>
      </w:r>
    </w:p>
    <w:p w14:paraId="3B2BC28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7．肺内气体分布测定：基于容积的CO2呼出曲线和阈值死腔VD-Threshold、生理死腔VD-Bohr、肺泡死腔Vm25_50、Vm50_75等。</w:t>
      </w:r>
    </w:p>
    <w:p w14:paraId="042502E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（3）技术参数：</w:t>
      </w:r>
    </w:p>
    <w:p w14:paraId="7B468C2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 流量传感器：超声波流量传感器，要求使用寿命长，测量精度高，呼吸阻力为零，传感器内部不得有任何障碍物。每人次更换所有的呼吸管路，确保没有共同呼吸回路，彻底杜绝交叉感染。测量范围：0- ± 15升/秒，测量精度：±1.5%，分辨率：1毫升/秒，容量范围：0– ±21 升，测量精度：±1.5%，分辨率：1毫升，呼吸阻力：0；</w:t>
      </w:r>
    </w:p>
    <w:p w14:paraId="7C7CD6F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2.CO2气体分析器：要求使用寿命长，性能稳定，红外吸收法原理，测量范围：0–7%，测量精度：±0.0 1%，分辨率10ppm，分析速度：不超过90毫秒。</w:t>
      </w:r>
    </w:p>
    <w:p w14:paraId="1C7958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3.O2气体分析器：快速氧分析器，电化学技术，分析器内部无高温等危险部件，反应速度&lt;90毫秒，测量范围：0-21%，测量精度：±0.1% ，分辨率0.01%。</w:t>
      </w:r>
    </w:p>
    <w:p w14:paraId="309CFF3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4.传感器内置温度、湿度、气压探头和实时BTPS补偿，自动容量定标，无需繁琐的手动定标。</w:t>
      </w:r>
    </w:p>
    <w:p w14:paraId="5D250C0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5.气路设计：开放式测试系统，病人通过呼吸测试头直接呼吸空气。测试头不得有任何大的螺纹管等气体采集管路。</w:t>
      </w:r>
    </w:p>
    <w:p w14:paraId="321DF78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6.采样干燥方法：采用高分子的自动吸水干燥管路，不需要更换干燥剂。</w:t>
      </w:r>
    </w:p>
    <w:p w14:paraId="40D111B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中文化的自动诊断功能：能够对通气、换气、潮气、振荡等测试结果进行自动分析，全中文操控界面，全中文报告结论，所有测试项目均可自动给出诊断意见（提供软件界面佐证），提供查询、分析功能，测试报告可以以图片形式输出，测试数据以数据表格输出。</w:t>
      </w:r>
    </w:p>
    <w:p w14:paraId="56AC0C7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8.动画演示程序：流量容积环的动态演示程序，用以帮助小孩特别是学龄前儿童配合做好流量容积环检查。</w:t>
      </w:r>
    </w:p>
    <w:p w14:paraId="27B7624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9.工作站配置要求：</w:t>
      </w:r>
    </w:p>
    <w:p w14:paraId="19ED73F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采用工控机系统，至少16G内存，500G SSD，彩色输出终端，≥23.8寸宽屏彩色液晶显示器。</w:t>
      </w:r>
    </w:p>
    <w:p w14:paraId="3708BF8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10.软件要求：</w:t>
      </w:r>
    </w:p>
    <w:p w14:paraId="71B67D5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10.1重复性：通气功能测试需同一个界面上需支持不少于10条FV曲线和用力时间肺活量曲线的叠加，并显示每条测试曲线的具体测试数据。</w:t>
      </w:r>
    </w:p>
    <w:p w14:paraId="50DA965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10.2质量控制：按ATS/ERS的质控要求，对测试结果自动分析每条测试数据是否满足其质控要求，并标记出哪一点没达到质控要求，方便受试者后续改进</w:t>
      </w:r>
    </w:p>
    <w:p w14:paraId="732C63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10.3数据组合：能从不同的测试曲线上，分别选取最佳的吸气环和呼气环，重新组成一个新的最好呼气环和数据。</w:t>
      </w:r>
    </w:p>
    <w:p w14:paraId="5A25832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10.4通气功能需具备自动分析功能，自动给出中文的肺功能检查意见。</w:t>
      </w:r>
    </w:p>
    <w:p w14:paraId="790ED78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*10.5摄氧量的动态正常值范围带：必须提供摄氧量的在动态正常值范围带，以便临床上大量不能运动到力竭的病人的运动评估。</w:t>
      </w:r>
    </w:p>
    <w:p w14:paraId="45A816F1">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10.6无氧阈评估：提供自动和手动AT评估，为方便AT准确定位，必须具备在任何一张图上拖动AT线，其他图上的AT线也应自动变化。</w:t>
      </w:r>
    </w:p>
    <w:p w14:paraId="3A1343D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11.血氧仪：有脉率和血氧数据，蓝牙接口，数据直接上传到CPF。</w:t>
      </w:r>
    </w:p>
    <w:p w14:paraId="6AFC0AB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12.脉搏波血压计：带通讯端口和数据线，血压自动上传，由主机控制，数据自动上传到CPF。</w:t>
      </w:r>
    </w:p>
    <w:p w14:paraId="48382C0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13.信息化接口：投标需提供免费数据接口协议和连接HIS的免费接口程序，方便对接。</w:t>
      </w:r>
    </w:p>
    <w:p w14:paraId="46F5F23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13.扩展性要求：未来能方便升级到弥散残气甚至体描。</w:t>
      </w:r>
    </w:p>
    <w:p w14:paraId="2C6E850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（4）配置清单</w:t>
      </w:r>
    </w:p>
    <w:p w14:paraId="1CD1EF9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1.心肺功能主机 1套；</w:t>
      </w:r>
    </w:p>
    <w:p w14:paraId="380117DE">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2.超声流量传感器1个；</w:t>
      </w:r>
    </w:p>
    <w:p w14:paraId="3AC5029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3.运动定标专用气体10升1瓶；</w:t>
      </w:r>
    </w:p>
    <w:p w14:paraId="208720E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4.移动台车，带液压支撑臂 1个；</w:t>
      </w:r>
    </w:p>
    <w:p w14:paraId="7B1215B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5.运动测试面罩（大中小号）和魔术绑带头盔各3套；</w:t>
      </w:r>
    </w:p>
    <w:p w14:paraId="7E3DEDF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6.中文操作手册1本；</w:t>
      </w:r>
    </w:p>
    <w:p w14:paraId="234FF648">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7.彩色喷墨设备1台；</w:t>
      </w:r>
    </w:p>
    <w:p w14:paraId="3145BDA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8.其他必须配备设备。</w:t>
      </w:r>
    </w:p>
    <w:p w14:paraId="3375488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（5）12导运动心电图的技术要求</w:t>
      </w:r>
    </w:p>
    <w:tbl>
      <w:tblPr>
        <w:tblStyle w:val="33"/>
        <w:tblW w:w="87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513"/>
        <w:gridCol w:w="5450"/>
        <w:gridCol w:w="913"/>
      </w:tblGrid>
      <w:tr w14:paraId="4D96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28E65D8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序号</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799CDA80">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项目</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6ADC310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要求</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1F0AAB45">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备注</w:t>
            </w:r>
          </w:p>
        </w:tc>
      </w:tr>
      <w:tr w14:paraId="3FD9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B6CFD7B">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2AC7C2E5">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主要性能</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14F9559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双屏独立显示12导运动心电图和气体代谢数据，心电图和气体代谢要内置无缝连接（在心电图窗口界面上同步显示气体代谢数据），病人资料和数据在计算机内部进行自动交换，</w:t>
            </w:r>
          </w:p>
        </w:tc>
        <w:tc>
          <w:tcPr>
            <w:tcW w:w="913" w:type="dxa"/>
            <w:tcBorders>
              <w:top w:val="single" w:color="auto" w:sz="4" w:space="0"/>
              <w:left w:val="single" w:color="auto" w:sz="4" w:space="0"/>
              <w:bottom w:val="single" w:color="auto" w:sz="4" w:space="0"/>
              <w:right w:val="single" w:color="auto" w:sz="4" w:space="0"/>
            </w:tcBorders>
            <w:noWrap w:val="0"/>
            <w:vAlign w:val="top"/>
          </w:tcPr>
          <w:p w14:paraId="77F7581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w:t>
            </w:r>
          </w:p>
        </w:tc>
      </w:tr>
      <w:tr w14:paraId="01D0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3077E6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83D4B9B">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工作电源</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0AF745F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为了更好的电安全性能，采用电池工作</w:t>
            </w:r>
          </w:p>
        </w:tc>
        <w:tc>
          <w:tcPr>
            <w:tcW w:w="913" w:type="dxa"/>
            <w:tcBorders>
              <w:top w:val="single" w:color="auto" w:sz="4" w:space="0"/>
              <w:left w:val="single" w:color="auto" w:sz="4" w:space="0"/>
              <w:bottom w:val="single" w:color="auto" w:sz="4" w:space="0"/>
              <w:right w:val="single" w:color="auto" w:sz="4" w:space="0"/>
            </w:tcBorders>
            <w:noWrap w:val="0"/>
            <w:vAlign w:val="top"/>
          </w:tcPr>
          <w:p w14:paraId="4FC79245">
            <w:pPr>
              <w:spacing w:line="360" w:lineRule="auto"/>
              <w:ind w:firstLine="420" w:firstLineChars="200"/>
              <w:rPr>
                <w:rFonts w:hint="eastAsia" w:ascii="宋体" w:hAnsi="宋体" w:cs="宋体"/>
                <w:color w:val="auto"/>
                <w:szCs w:val="21"/>
                <w:highlight w:val="none"/>
                <w:lang w:val="en-US" w:eastAsia="zh-CN"/>
              </w:rPr>
            </w:pPr>
          </w:p>
        </w:tc>
      </w:tr>
      <w:tr w14:paraId="6B05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3B4003C">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A2A0FD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无线接口</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6B1F3CC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12导心电图要求能方便随声携带，无线联接，适应运动测试</w:t>
            </w:r>
          </w:p>
        </w:tc>
        <w:tc>
          <w:tcPr>
            <w:tcW w:w="913" w:type="dxa"/>
            <w:tcBorders>
              <w:top w:val="single" w:color="auto" w:sz="4" w:space="0"/>
              <w:left w:val="single" w:color="auto" w:sz="4" w:space="0"/>
              <w:bottom w:val="single" w:color="auto" w:sz="4" w:space="0"/>
              <w:right w:val="single" w:color="auto" w:sz="4" w:space="0"/>
            </w:tcBorders>
            <w:noWrap w:val="0"/>
            <w:vAlign w:val="top"/>
          </w:tcPr>
          <w:p w14:paraId="4DA61F9D">
            <w:pPr>
              <w:spacing w:line="360" w:lineRule="auto"/>
              <w:ind w:firstLine="420" w:firstLineChars="200"/>
              <w:rPr>
                <w:rFonts w:hint="eastAsia" w:ascii="宋体" w:hAnsi="宋体" w:cs="宋体"/>
                <w:color w:val="auto"/>
                <w:szCs w:val="21"/>
                <w:highlight w:val="none"/>
                <w:lang w:val="en-US" w:eastAsia="zh-CN"/>
              </w:rPr>
            </w:pPr>
          </w:p>
          <w:p w14:paraId="63E98309">
            <w:pPr>
              <w:spacing w:line="360" w:lineRule="auto"/>
              <w:ind w:firstLine="420" w:firstLineChars="200"/>
              <w:rPr>
                <w:rFonts w:hint="eastAsia" w:ascii="宋体" w:hAnsi="宋体" w:cs="宋体"/>
                <w:color w:val="auto"/>
                <w:szCs w:val="21"/>
                <w:highlight w:val="none"/>
                <w:lang w:val="en-US" w:eastAsia="zh-CN"/>
              </w:rPr>
            </w:pPr>
          </w:p>
        </w:tc>
      </w:tr>
      <w:tr w14:paraId="703F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D02777A">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D72080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采样频率</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7253B56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采样频率不得低于4096赫兹。</w:t>
            </w:r>
          </w:p>
        </w:tc>
        <w:tc>
          <w:tcPr>
            <w:tcW w:w="913" w:type="dxa"/>
            <w:tcBorders>
              <w:top w:val="single" w:color="auto" w:sz="4" w:space="0"/>
              <w:left w:val="single" w:color="auto" w:sz="4" w:space="0"/>
              <w:bottom w:val="single" w:color="auto" w:sz="4" w:space="0"/>
              <w:right w:val="single" w:color="auto" w:sz="4" w:space="0"/>
            </w:tcBorders>
            <w:noWrap w:val="0"/>
            <w:vAlign w:val="top"/>
          </w:tcPr>
          <w:p w14:paraId="56991D9B">
            <w:pPr>
              <w:spacing w:line="360" w:lineRule="auto"/>
              <w:ind w:firstLine="420" w:firstLineChars="200"/>
              <w:rPr>
                <w:rFonts w:hint="eastAsia" w:ascii="宋体" w:hAnsi="宋体" w:cs="宋体"/>
                <w:color w:val="auto"/>
                <w:szCs w:val="21"/>
                <w:highlight w:val="none"/>
                <w:lang w:val="en-US" w:eastAsia="zh-CN"/>
              </w:rPr>
            </w:pPr>
          </w:p>
        </w:tc>
      </w:tr>
      <w:tr w14:paraId="4BDA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76D809F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E75A1F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输入阻抗</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23A9B311">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不低于5M欧</w:t>
            </w:r>
          </w:p>
        </w:tc>
        <w:tc>
          <w:tcPr>
            <w:tcW w:w="913" w:type="dxa"/>
            <w:tcBorders>
              <w:top w:val="single" w:color="auto" w:sz="4" w:space="0"/>
              <w:left w:val="single" w:color="auto" w:sz="4" w:space="0"/>
              <w:bottom w:val="single" w:color="auto" w:sz="4" w:space="0"/>
              <w:right w:val="single" w:color="auto" w:sz="4" w:space="0"/>
            </w:tcBorders>
            <w:noWrap w:val="0"/>
            <w:vAlign w:val="top"/>
          </w:tcPr>
          <w:p w14:paraId="18AE1BD7">
            <w:pPr>
              <w:spacing w:line="360" w:lineRule="auto"/>
              <w:ind w:firstLine="420" w:firstLineChars="200"/>
              <w:rPr>
                <w:rFonts w:hint="eastAsia" w:ascii="宋体" w:hAnsi="宋体" w:cs="宋体"/>
                <w:color w:val="auto"/>
                <w:szCs w:val="21"/>
                <w:highlight w:val="none"/>
                <w:lang w:val="en-US" w:eastAsia="zh-CN"/>
              </w:rPr>
            </w:pPr>
          </w:p>
        </w:tc>
      </w:tr>
      <w:tr w14:paraId="3DB3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7ACA96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0477E627">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共模抑制比</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0CFFEB41">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不低于89dB</w:t>
            </w:r>
          </w:p>
        </w:tc>
        <w:tc>
          <w:tcPr>
            <w:tcW w:w="913" w:type="dxa"/>
            <w:tcBorders>
              <w:top w:val="single" w:color="auto" w:sz="4" w:space="0"/>
              <w:left w:val="single" w:color="auto" w:sz="4" w:space="0"/>
              <w:bottom w:val="single" w:color="auto" w:sz="4" w:space="0"/>
              <w:right w:val="single" w:color="auto" w:sz="4" w:space="0"/>
            </w:tcBorders>
            <w:noWrap w:val="0"/>
            <w:vAlign w:val="top"/>
          </w:tcPr>
          <w:p w14:paraId="37C88E24">
            <w:pPr>
              <w:spacing w:line="360" w:lineRule="auto"/>
              <w:ind w:firstLine="420" w:firstLineChars="200"/>
              <w:rPr>
                <w:rFonts w:hint="eastAsia" w:ascii="宋体" w:hAnsi="宋体" w:cs="宋体"/>
                <w:color w:val="auto"/>
                <w:szCs w:val="21"/>
                <w:highlight w:val="none"/>
                <w:lang w:val="en-US" w:eastAsia="zh-CN"/>
              </w:rPr>
            </w:pPr>
          </w:p>
        </w:tc>
      </w:tr>
      <w:tr w14:paraId="3660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371F66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396765F8">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ST分析</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14CC2C7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可以设置从J点或ST点，绝对ST或相对ST方式，ST抬高和压低的标准来分析ST。具备叠加波参考，综合波分析，趋势分析等。</w:t>
            </w:r>
          </w:p>
        </w:tc>
        <w:tc>
          <w:tcPr>
            <w:tcW w:w="913" w:type="dxa"/>
            <w:tcBorders>
              <w:top w:val="single" w:color="auto" w:sz="4" w:space="0"/>
              <w:left w:val="single" w:color="auto" w:sz="4" w:space="0"/>
              <w:bottom w:val="single" w:color="auto" w:sz="4" w:space="0"/>
              <w:right w:val="single" w:color="auto" w:sz="4" w:space="0"/>
            </w:tcBorders>
            <w:noWrap w:val="0"/>
            <w:vAlign w:val="top"/>
          </w:tcPr>
          <w:p w14:paraId="49CEB62C">
            <w:pPr>
              <w:spacing w:line="360" w:lineRule="auto"/>
              <w:ind w:firstLine="420" w:firstLineChars="200"/>
              <w:rPr>
                <w:rFonts w:hint="eastAsia" w:ascii="宋体" w:hAnsi="宋体" w:cs="宋体"/>
                <w:color w:val="auto"/>
                <w:szCs w:val="21"/>
                <w:highlight w:val="none"/>
                <w:lang w:val="en-US" w:eastAsia="zh-CN"/>
              </w:rPr>
            </w:pPr>
          </w:p>
          <w:p w14:paraId="3E62947E">
            <w:pPr>
              <w:spacing w:line="360" w:lineRule="auto"/>
              <w:ind w:firstLine="420" w:firstLineChars="200"/>
              <w:rPr>
                <w:rFonts w:hint="eastAsia" w:ascii="宋体" w:hAnsi="宋体" w:cs="宋体"/>
                <w:color w:val="auto"/>
                <w:szCs w:val="21"/>
                <w:highlight w:val="none"/>
                <w:lang w:val="en-US" w:eastAsia="zh-CN"/>
              </w:rPr>
            </w:pPr>
          </w:p>
        </w:tc>
      </w:tr>
      <w:tr w14:paraId="02BB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6ECA7A7">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BA6386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其他功能</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54054F8B">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全览图回放心电波形，心率恢复，独特ST图表，多样趋势图，ST重分析，心率失常分析</w:t>
            </w:r>
          </w:p>
        </w:tc>
        <w:tc>
          <w:tcPr>
            <w:tcW w:w="913" w:type="dxa"/>
            <w:tcBorders>
              <w:top w:val="single" w:color="auto" w:sz="4" w:space="0"/>
              <w:left w:val="single" w:color="auto" w:sz="4" w:space="0"/>
              <w:bottom w:val="single" w:color="auto" w:sz="4" w:space="0"/>
              <w:right w:val="single" w:color="auto" w:sz="4" w:space="0"/>
            </w:tcBorders>
            <w:noWrap w:val="0"/>
            <w:vAlign w:val="top"/>
          </w:tcPr>
          <w:p w14:paraId="19353CD9">
            <w:pPr>
              <w:spacing w:line="360" w:lineRule="auto"/>
              <w:ind w:firstLine="420" w:firstLineChars="200"/>
              <w:rPr>
                <w:rFonts w:hint="eastAsia" w:ascii="宋体" w:hAnsi="宋体" w:cs="宋体"/>
                <w:color w:val="auto"/>
                <w:szCs w:val="21"/>
                <w:highlight w:val="none"/>
                <w:lang w:val="en-US" w:eastAsia="zh-CN"/>
              </w:rPr>
            </w:pPr>
          </w:p>
          <w:p w14:paraId="5793F308">
            <w:pPr>
              <w:spacing w:line="360" w:lineRule="auto"/>
              <w:ind w:firstLine="420" w:firstLineChars="200"/>
              <w:rPr>
                <w:rFonts w:hint="eastAsia" w:ascii="宋体" w:hAnsi="宋体" w:cs="宋体"/>
                <w:color w:val="auto"/>
                <w:szCs w:val="21"/>
                <w:highlight w:val="none"/>
                <w:lang w:val="en-US" w:eastAsia="zh-CN"/>
              </w:rPr>
            </w:pPr>
          </w:p>
        </w:tc>
      </w:tr>
    </w:tbl>
    <w:p w14:paraId="280787A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（6）配套功率自行车要求</w:t>
      </w:r>
    </w:p>
    <w:tbl>
      <w:tblPr>
        <w:tblStyle w:val="33"/>
        <w:tblW w:w="87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640"/>
        <w:gridCol w:w="5378"/>
        <w:gridCol w:w="913"/>
      </w:tblGrid>
      <w:tr w14:paraId="323E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5F2B94C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序号</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5D556CA0">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项目</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062B0CE4">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要求</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28A72E0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备注</w:t>
            </w:r>
          </w:p>
        </w:tc>
      </w:tr>
      <w:tr w14:paraId="3909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2B68963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105A6B5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功率计形式</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7DF2612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直立位恒功率负载电磁阻尼功率计</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02E9236E">
            <w:pPr>
              <w:spacing w:line="360" w:lineRule="auto"/>
              <w:ind w:firstLine="420" w:firstLineChars="200"/>
              <w:jc w:val="center"/>
              <w:rPr>
                <w:rFonts w:hint="eastAsia" w:ascii="宋体" w:hAnsi="宋体" w:cs="宋体"/>
                <w:color w:val="auto"/>
                <w:szCs w:val="21"/>
                <w:highlight w:val="none"/>
                <w:lang w:val="en-US" w:eastAsia="zh-CN"/>
              </w:rPr>
            </w:pPr>
          </w:p>
        </w:tc>
      </w:tr>
      <w:tr w14:paraId="63BD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52310148">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C8DA521">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控制</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2DA74D6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具备RS232数字通讯接口，受心肺功能主机控制，也可脱离主机独立运行。</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40DAF7F9">
            <w:pPr>
              <w:spacing w:line="360" w:lineRule="auto"/>
              <w:ind w:firstLine="420" w:firstLineChars="200"/>
              <w:jc w:val="center"/>
              <w:rPr>
                <w:rFonts w:hint="eastAsia" w:ascii="宋体" w:hAnsi="宋体" w:cs="宋体"/>
                <w:color w:val="auto"/>
                <w:szCs w:val="21"/>
                <w:highlight w:val="none"/>
                <w:lang w:val="en-US" w:eastAsia="zh-CN"/>
              </w:rPr>
            </w:pPr>
          </w:p>
        </w:tc>
      </w:tr>
      <w:tr w14:paraId="1D69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4DBAD1D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09A4B8E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功率范围</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28AC99D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5 -1000瓦，功率误差控制不超过3%，内置可自由编程的功率规程，能脱离主机独立运行。</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46499A96">
            <w:pPr>
              <w:spacing w:line="360" w:lineRule="auto"/>
              <w:ind w:firstLine="420" w:firstLineChars="200"/>
              <w:jc w:val="center"/>
              <w:rPr>
                <w:rFonts w:hint="eastAsia" w:ascii="宋体" w:hAnsi="宋体" w:cs="宋体"/>
                <w:color w:val="auto"/>
                <w:szCs w:val="21"/>
                <w:highlight w:val="none"/>
                <w:lang w:val="en-US" w:eastAsia="zh-CN"/>
              </w:rPr>
            </w:pPr>
          </w:p>
        </w:tc>
      </w:tr>
      <w:tr w14:paraId="1549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401BEA46">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7A553E4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血压测量</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79B1AE9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具备在运动过程中的血压测量，自动上传收缩压和舒张压到心肺功能主机</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60B3A5F5">
            <w:pPr>
              <w:spacing w:line="360" w:lineRule="auto"/>
              <w:ind w:firstLine="420" w:firstLineChars="200"/>
              <w:jc w:val="center"/>
              <w:rPr>
                <w:rFonts w:hint="eastAsia" w:ascii="宋体" w:hAnsi="宋体" w:cs="宋体"/>
                <w:color w:val="auto"/>
                <w:szCs w:val="21"/>
                <w:highlight w:val="none"/>
                <w:lang w:val="en-US" w:eastAsia="zh-CN"/>
              </w:rPr>
            </w:pPr>
          </w:p>
        </w:tc>
      </w:tr>
      <w:tr w14:paraId="03A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63BC12D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38A4DA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训练功能</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0911E20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至少10个用户自定义的训练功率规程</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47592EB2">
            <w:pPr>
              <w:spacing w:line="360" w:lineRule="auto"/>
              <w:ind w:firstLine="420" w:firstLineChars="200"/>
              <w:jc w:val="center"/>
              <w:rPr>
                <w:rFonts w:hint="eastAsia" w:ascii="宋体" w:hAnsi="宋体" w:cs="宋体"/>
                <w:color w:val="auto"/>
                <w:szCs w:val="21"/>
                <w:highlight w:val="none"/>
                <w:lang w:val="en-US" w:eastAsia="zh-CN"/>
              </w:rPr>
            </w:pPr>
          </w:p>
        </w:tc>
      </w:tr>
    </w:tbl>
    <w:p w14:paraId="5280F603">
      <w:pPr>
        <w:spacing w:line="360" w:lineRule="auto"/>
        <w:ind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（二）</w:t>
      </w:r>
      <w:r>
        <w:rPr>
          <w:rFonts w:hint="eastAsia" w:ascii="宋体" w:hAnsi="宋体" w:cs="宋体"/>
          <w:b/>
          <w:bCs/>
          <w:color w:val="auto"/>
          <w:szCs w:val="21"/>
          <w:highlight w:val="none"/>
          <w:lang w:val="en-US" w:eastAsia="zh-CN"/>
        </w:rPr>
        <w:t>6分钟步行试验系统（多导）</w:t>
      </w:r>
    </w:p>
    <w:p w14:paraId="76C3EB0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（1）、采集仪参数</w:t>
      </w:r>
    </w:p>
    <w:p w14:paraId="451F04E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1.具有监护仪。</w:t>
      </w:r>
    </w:p>
    <w:p w14:paraId="5581CFB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2.高度集成小型便携一体化监测设备，监测参数有：7导心电，血压，血氧，呼吸。</w:t>
      </w:r>
    </w:p>
    <w:p w14:paraId="162DC26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3.监护级别检测精度，监测参数：</w:t>
      </w:r>
    </w:p>
    <w:p w14:paraId="0F807F0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①心电：输入信号范围：±5mV；心率准确性：±1%或者1BPM（较大者）；共模抑制比：&gt;90dB；iv.输入阻抗：&gt;2.5MΩ。</w:t>
      </w:r>
    </w:p>
    <w:p w14:paraId="6464B8C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②呼吸：测量方法：胸部阻抗法；测量范围：成人（7-120BrPM）儿童（7-150BrPM）。</w:t>
      </w:r>
    </w:p>
    <w:p w14:paraId="226D1D5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③血氧：测量范围：0-100%；准确性：±2%（70-100%）。</w:t>
      </w:r>
    </w:p>
    <w:p w14:paraId="6DC2F24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④血压：测量方法：振荡法；测量压力范围：0-300mmHg；准确性：±3mmHg</w:t>
      </w:r>
    </w:p>
    <w:p w14:paraId="16DA50F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（2）、其他参数</w:t>
      </w:r>
    </w:p>
    <w:p w14:paraId="19F810A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1.形成监测报告中，包含：记录概况、趋势图（心电、血氧、呼吸），每分钟检测数据统计表，最快和最慢心率的心电图。</w:t>
      </w:r>
    </w:p>
    <w:p w14:paraId="48AA8CF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2.心率变异统计表，RR间期统计图，RR-Lorenz统计图。</w:t>
      </w:r>
    </w:p>
    <w:p w14:paraId="674063D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3.结论选择、步行距离、borg评分、步行评级、运动建议以及电子签名等内容。</w:t>
      </w:r>
    </w:p>
    <w:p w14:paraId="2A44D59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4.有计圈功能，并且圈数可自动换算成距离。</w:t>
      </w:r>
    </w:p>
    <w:p w14:paraId="27ED5B4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5.七导联心电图，可以实现心电信号的放大和缩小，打印步行前、步行中、步行后和自定义心电片段心电图，并可回放监护数据。</w:t>
      </w:r>
    </w:p>
    <w:p w14:paraId="3E01776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6.可配合其他设备的测量距离≥25米，期间不间断监测和保存心电、血氧、血压。</w:t>
      </w:r>
    </w:p>
    <w:p w14:paraId="61F6FA6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7.可配合其他设备全程语音提醒病人，智能血压测量以及六分钟步行试验数据记录。</w:t>
      </w:r>
    </w:p>
    <w:p w14:paraId="654C3DD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8.具有数字数据的趋势图分析、统计图的生成。</w:t>
      </w:r>
    </w:p>
    <w:p w14:paraId="1B9E382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9.有自主知识产权的报告系统，具有手写生成电子签名的功能，并生成报告。</w:t>
      </w:r>
    </w:p>
    <w:p w14:paraId="7827150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10.可数据备份、还原和报告导出。</w:t>
      </w:r>
    </w:p>
    <w:p w14:paraId="2C2F212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11.可移动推车平台，一键开关机功能方便快捷。</w:t>
      </w:r>
    </w:p>
    <w:p w14:paraId="0AE0228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12.计圏计步不受环境影响，不用对走廊进行清场。</w:t>
      </w:r>
    </w:p>
    <w:p w14:paraId="1E55DC8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（3）、配置：</w:t>
      </w:r>
    </w:p>
    <w:p w14:paraId="0F27CFB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1.多参数监护仪1套</w:t>
      </w:r>
      <w:r>
        <w:rPr>
          <w:rFonts w:hint="eastAsia" w:ascii="宋体" w:hAnsi="宋体" w:cs="宋体"/>
          <w:color w:val="auto"/>
          <w:szCs w:val="21"/>
          <w:highlight w:val="none"/>
          <w:lang w:val="en-US" w:eastAsia="zh-CN"/>
        </w:rPr>
        <w:tab/>
      </w:r>
    </w:p>
    <w:p w14:paraId="4D3AD5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2.工控机1套</w:t>
      </w:r>
      <w:r>
        <w:rPr>
          <w:rFonts w:hint="eastAsia" w:ascii="宋体" w:hAnsi="宋体" w:cs="宋体"/>
          <w:color w:val="auto"/>
          <w:szCs w:val="21"/>
          <w:highlight w:val="none"/>
          <w:lang w:val="en-US" w:eastAsia="zh-CN"/>
        </w:rPr>
        <w:tab/>
      </w:r>
    </w:p>
    <w:p w14:paraId="7F8D78F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3.六分钟步行测试管理软件1套</w:t>
      </w:r>
      <w:r>
        <w:rPr>
          <w:rFonts w:hint="eastAsia" w:ascii="宋体" w:hAnsi="宋体" w:cs="宋体"/>
          <w:color w:val="auto"/>
          <w:szCs w:val="21"/>
          <w:highlight w:val="none"/>
          <w:lang w:val="en-US" w:eastAsia="zh-CN"/>
        </w:rPr>
        <w:tab/>
      </w:r>
    </w:p>
    <w:p w14:paraId="199AEE0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4.显示器1台</w:t>
      </w:r>
      <w:r>
        <w:rPr>
          <w:rFonts w:hint="eastAsia" w:ascii="宋体" w:hAnsi="宋体" w:cs="宋体"/>
          <w:color w:val="auto"/>
          <w:szCs w:val="21"/>
          <w:highlight w:val="none"/>
          <w:lang w:val="en-US" w:eastAsia="zh-CN"/>
        </w:rPr>
        <w:tab/>
      </w:r>
    </w:p>
    <w:p w14:paraId="498A91F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5.输出终端1台</w:t>
      </w:r>
      <w:r>
        <w:rPr>
          <w:rFonts w:hint="eastAsia" w:ascii="宋体" w:hAnsi="宋体" w:cs="宋体"/>
          <w:color w:val="auto"/>
          <w:szCs w:val="21"/>
          <w:highlight w:val="none"/>
          <w:lang w:val="en-US" w:eastAsia="zh-CN"/>
        </w:rPr>
        <w:tab/>
      </w:r>
    </w:p>
    <w:p w14:paraId="54D5538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6.六分钟步行测试地贴1套</w:t>
      </w:r>
      <w:r>
        <w:rPr>
          <w:rFonts w:hint="eastAsia" w:ascii="宋体" w:hAnsi="宋体" w:cs="宋体"/>
          <w:color w:val="auto"/>
          <w:szCs w:val="21"/>
          <w:highlight w:val="none"/>
          <w:lang w:val="en-US" w:eastAsia="zh-CN"/>
        </w:rPr>
        <w:tab/>
      </w:r>
    </w:p>
    <w:p w14:paraId="33DFB2B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7.键鼠1套</w:t>
      </w:r>
    </w:p>
    <w:p w14:paraId="5DFDDCE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8.六分钟步行测试推车1台</w:t>
      </w:r>
      <w:r>
        <w:rPr>
          <w:rFonts w:hint="eastAsia" w:ascii="宋体" w:hAnsi="宋体" w:cs="宋体"/>
          <w:color w:val="auto"/>
          <w:szCs w:val="21"/>
          <w:highlight w:val="none"/>
          <w:lang w:val="en-US" w:eastAsia="zh-CN"/>
        </w:rPr>
        <w:tab/>
      </w:r>
    </w:p>
    <w:p w14:paraId="4214D27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9.六分钟步行测试背包1个</w:t>
      </w:r>
      <w:r>
        <w:rPr>
          <w:rFonts w:hint="eastAsia" w:ascii="宋体" w:hAnsi="宋体" w:cs="宋体"/>
          <w:color w:val="auto"/>
          <w:szCs w:val="21"/>
          <w:highlight w:val="none"/>
          <w:lang w:val="en-US" w:eastAsia="zh-CN"/>
        </w:rPr>
        <w:tab/>
      </w:r>
    </w:p>
    <w:p w14:paraId="0B2E427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10.血氧固定线1根</w:t>
      </w:r>
      <w:r>
        <w:rPr>
          <w:rFonts w:hint="eastAsia" w:ascii="宋体" w:hAnsi="宋体" w:cs="宋体"/>
          <w:color w:val="auto"/>
          <w:szCs w:val="21"/>
          <w:highlight w:val="none"/>
          <w:lang w:val="en-US" w:eastAsia="zh-CN"/>
        </w:rPr>
        <w:tab/>
      </w:r>
    </w:p>
    <w:p w14:paraId="008EBE4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11.RFID读卡器1套</w:t>
      </w:r>
      <w:r>
        <w:rPr>
          <w:rFonts w:hint="eastAsia" w:ascii="宋体" w:hAnsi="宋体" w:cs="宋体"/>
          <w:color w:val="auto"/>
          <w:szCs w:val="21"/>
          <w:highlight w:val="none"/>
          <w:lang w:val="en-US" w:eastAsia="zh-CN"/>
        </w:rPr>
        <w:tab/>
      </w:r>
    </w:p>
    <w:p w14:paraId="292ACFB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12.读卡器固定支架1套</w:t>
      </w:r>
    </w:p>
    <w:p w14:paraId="67CFA9EC">
      <w:pPr>
        <w:pStyle w:val="32"/>
        <w:ind w:left="0" w:leftChars="0"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三</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呼气分析仪（一氧化氮分析仪）</w:t>
      </w:r>
    </w:p>
    <w:p w14:paraId="392F1E2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1765ECA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1.测定参数：</w:t>
      </w:r>
    </w:p>
    <w:p w14:paraId="4310C40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*1.1测定模式：标配：在线测量；离线测量、潮气测量</w:t>
      </w:r>
    </w:p>
    <w:p w14:paraId="74300BB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1.2一氧化氮测定参数：FeNO、CaNO、FnNO。</w:t>
      </w:r>
    </w:p>
    <w:p w14:paraId="6AD8E2D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1.3不同部位的一氧化氮浓度测定可单独测试，也可联合测试:FeNO+CaNO,FeNO+FnNO,FeNO+CaNO+</w:t>
      </w:r>
    </w:p>
    <w:p w14:paraId="651E7935">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FnNO。</w:t>
      </w:r>
    </w:p>
    <w:p w14:paraId="25F3771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2.检测器类型：电化学检测器。</w:t>
      </w:r>
    </w:p>
    <w:p w14:paraId="0235FC2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3.在线检测实时呈现流速-时间曲线图像，动态监测呼气过程，全程可视可控。</w:t>
      </w:r>
    </w:p>
    <w:p w14:paraId="2F15DBC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4.呼气压力测定范围：正常压力：5~10cm H2O范围内；</w:t>
      </w:r>
    </w:p>
    <w:p w14:paraId="420CDF8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5.测量范围：0-3500ppb。</w:t>
      </w:r>
    </w:p>
    <w:p w14:paraId="69B520E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6.呼出气一氧化氮测量准确性：±5ppb或±10%，取大值。</w:t>
      </w:r>
    </w:p>
    <w:p w14:paraId="6CCCCC1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7.呼出气一氧化氮测量重复性：＜3ppb或者＜10%，取大值。</w:t>
      </w:r>
    </w:p>
    <w:p w14:paraId="405F2F4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8.呼气流速：50ml/s、200ml/s、10ml/s（适用于鼻腔气检测），三种流速模式误差范围均为±10%。</w:t>
      </w:r>
    </w:p>
    <w:p w14:paraId="0BC98F8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9.呼气时间：成人</w:t>
      </w:r>
      <w:r>
        <w:rPr>
          <w:rFonts w:hint="eastAsia" w:ascii="宋体" w:hAnsi="宋体" w:cs="宋体"/>
          <w:color w:val="auto"/>
          <w:szCs w:val="21"/>
          <w:highlight w:val="none"/>
          <w:lang w:val="en-US" w:eastAsia="zh-CN"/>
        </w:rPr>
        <w:t>约</w:t>
      </w:r>
      <w:r>
        <w:rPr>
          <w:rFonts w:hint="eastAsia" w:ascii="宋体" w:hAnsi="宋体" w:eastAsia="宋体" w:cs="宋体"/>
          <w:color w:val="auto"/>
          <w:szCs w:val="21"/>
          <w:highlight w:val="none"/>
          <w:lang w:val="en-US" w:eastAsia="zh-CN"/>
        </w:rPr>
        <w:t>10s，儿童</w:t>
      </w:r>
      <w:r>
        <w:rPr>
          <w:rFonts w:hint="eastAsia" w:ascii="宋体" w:hAnsi="宋体" w:cs="宋体"/>
          <w:color w:val="auto"/>
          <w:szCs w:val="21"/>
          <w:highlight w:val="none"/>
          <w:lang w:val="en-US" w:eastAsia="zh-CN"/>
        </w:rPr>
        <w:t>约</w:t>
      </w:r>
      <w:r>
        <w:rPr>
          <w:rFonts w:hint="eastAsia" w:ascii="宋体" w:hAnsi="宋体" w:eastAsia="宋体" w:cs="宋体"/>
          <w:color w:val="auto"/>
          <w:szCs w:val="21"/>
          <w:highlight w:val="none"/>
          <w:lang w:val="en-US" w:eastAsia="zh-CN"/>
        </w:rPr>
        <w:t>6s。</w:t>
      </w:r>
    </w:p>
    <w:p w14:paraId="3239D59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10.测量稳定性：测量间隔在2h内的浓度变化率±5ppb或±10%，取大值。</w:t>
      </w:r>
    </w:p>
    <w:p w14:paraId="2D7547C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11.线性度≥0.98。</w:t>
      </w:r>
    </w:p>
    <w:p w14:paraId="69214E6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12.分辨率：≥1ppb。</w:t>
      </w:r>
    </w:p>
    <w:p w14:paraId="7B82E2B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13.分析时间：约1分钟。</w:t>
      </w:r>
    </w:p>
    <w:p w14:paraId="5B04998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14.呼气阀具有压力及流量双传感器：</w:t>
      </w:r>
    </w:p>
    <w:p w14:paraId="06A5A22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14.1实现同一套呼气系统完成FeNO50和FeNO200测试；</w:t>
      </w:r>
    </w:p>
    <w:p w14:paraId="439A5F8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14.2根据呼气压力自动调节呼气流量，呼气流量控制更精准，更容易配合通过测试；</w:t>
      </w:r>
    </w:p>
    <w:p w14:paraId="34EC67E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15.呼气手柄可有效过滤外界一氧化氮对检测准确性的干扰。</w:t>
      </w:r>
    </w:p>
    <w:p w14:paraId="063E44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16.当配拓展潮气和离线检测功能时，配相应配套附件：</w:t>
      </w:r>
    </w:p>
    <w:p w14:paraId="0B823C4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*16.1呼气采集器具备压力与流量控制模块，患者可进行多口气呼气采集气体。</w:t>
      </w:r>
    </w:p>
    <w:p w14:paraId="305C8B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16.2离线测量模式可检测FeNO、CaNO和潮气。</w:t>
      </w:r>
    </w:p>
    <w:p w14:paraId="22318BC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16.3两种潮气采样方式；</w:t>
      </w:r>
    </w:p>
    <w:p w14:paraId="43777EF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*16.4正常呼吸潮气采样，可对6个月及以上婴幼儿或危重症患者进行呼气气体采集。</w:t>
      </w:r>
    </w:p>
    <w:p w14:paraId="417AEEF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（2）仪器功能指标</w:t>
      </w:r>
    </w:p>
    <w:p w14:paraId="7F28889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1.便携式设计，体积小，重量轻，内置锂电池，便于移动和外出携带，满足临多场景应用。</w:t>
      </w:r>
    </w:p>
    <w:p w14:paraId="329BA7A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2.具备主机屏幕，触屏操作，彩色显示（≥7英寸，分辨率≥800*480），灵敏便捷。</w:t>
      </w:r>
    </w:p>
    <w:p w14:paraId="205C30C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3.双模操作平台：支持设备端单机操作，也可连接电脑端并配备PC端软件操作。</w:t>
      </w:r>
    </w:p>
    <w:p w14:paraId="1AC1D3D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4.设备端具有开机自检及压力校准功能，通过后进入测量主界面。</w:t>
      </w:r>
    </w:p>
    <w:p w14:paraId="070B5DF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*5.仪器端软件及PC端软件数据联动：</w:t>
      </w:r>
    </w:p>
    <w:p w14:paraId="22EFCB2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5.1.可支持创建、录入并编辑受试者信息（姓名、性别、年龄），临床科室选择及检查报告所需其他信息。</w:t>
      </w:r>
    </w:p>
    <w:p w14:paraId="67113FF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5.2.可提供受试者信息管理与历史数据查看及A4报告打印功能，便于临床患者管理、回访及复诊。</w:t>
      </w:r>
    </w:p>
    <w:p w14:paraId="6BA88EA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5.3.系统内置三种检测动画可供选择，满足不同人群认知需求，提高患者配合度。</w:t>
      </w:r>
    </w:p>
    <w:p w14:paraId="6CA736D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5.4.可连接云平台（医院端），便于医生对进行患者数据统计分析及管理。</w:t>
      </w:r>
    </w:p>
    <w:p w14:paraId="7AB074C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6.仪器可通过“零点校准”、“标准气校准”或“呼出气检验校准”，三种方式进行校准标定，并可查看校准报告，保证仪器的质控需求。</w:t>
      </w:r>
    </w:p>
    <w:p w14:paraId="162AB2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7.质量控制功能：当测定过程中出现呼气压力过高或过低、吸气超时、呼气超时等错误操作时，系统主机可自动停止测定并提示错误信息。</w:t>
      </w:r>
    </w:p>
    <w:p w14:paraId="1C98ACB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8.采用分离式单向呼气手柄，无公共气道回路，有效避免交叉污染。</w:t>
      </w:r>
    </w:p>
    <w:p w14:paraId="279A3C9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9.软件具备训练模式，患者可练习并适应检测操作，有效保证正式测试的通过率。</w:t>
      </w:r>
    </w:p>
    <w:p w14:paraId="7CB866A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10.配备蓝牙、USB端口，实现设备与PC端数据传输与软件升级，可连接打印机等设备多场景应用。</w:t>
      </w:r>
    </w:p>
    <w:p w14:paraId="2865D4F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*11.具备无线WIFI网络检测和连接功能，可将检测结果上传至云端数据库。</w:t>
      </w:r>
    </w:p>
    <w:p w14:paraId="7822FD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12.主机内置高容量锂电池，可待机及断电使用。保证断电情况下可连续工作不低于2小时。</w:t>
      </w:r>
    </w:p>
    <w:p w14:paraId="6BFE1E3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13.具有呼气压力提示、采气进度、呼气模式选择、电量指示功能。</w:t>
      </w:r>
    </w:p>
    <w:p w14:paraId="56038B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14.存储容量：仪器主机可存储不少于500份病人测量记录，PC软件端可实现无限制存储。</w:t>
      </w:r>
    </w:p>
    <w:p w14:paraId="4FBAB3C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15.工作环境：工作温度：10℃~35℃；工作湿度：20%~80%RH（无结露）；工作气压：700hPa~1060hPa；</w:t>
      </w:r>
    </w:p>
    <w:p w14:paraId="3BE28A8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16.手柄寿命：有效期≥2年；</w:t>
      </w:r>
    </w:p>
    <w:p w14:paraId="5DDA9C8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17.一次性使用过滤嘴：一次性使用，有效期≥3年。</w:t>
      </w:r>
    </w:p>
    <w:p w14:paraId="22596F46">
      <w:pPr>
        <w:pStyle w:val="32"/>
        <w:ind w:left="0" w:leftChars="0"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四</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人体成分测试仪</w:t>
      </w:r>
    </w:p>
    <w:p w14:paraId="43E7EB7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（1）主要技术参数：</w:t>
      </w:r>
    </w:p>
    <w:p w14:paraId="6D69714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*1、身高功能参数：</w:t>
      </w:r>
    </w:p>
    <w:p w14:paraId="468CA2A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测量原理：超声波测量距离原理；</w:t>
      </w:r>
    </w:p>
    <w:p w14:paraId="76FEE50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测量范围：身高：60~200cm；</w:t>
      </w:r>
    </w:p>
    <w:p w14:paraId="3653B3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测量精准度：±0.5cm；</w:t>
      </w:r>
    </w:p>
    <w:p w14:paraId="7FDCB63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2、体重功能参数:</w:t>
      </w:r>
    </w:p>
    <w:p w14:paraId="4E7A11B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测量原理：精密平衡梁式压力传感器称重；</w:t>
      </w:r>
    </w:p>
    <w:p w14:paraId="14FA0C6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测量范围：5~200Kg；</w:t>
      </w:r>
    </w:p>
    <w:p w14:paraId="565CBEE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最大超量程：不超过500Kg；</w:t>
      </w:r>
    </w:p>
    <w:p w14:paraId="6E3FEA4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测量精准度：±0.5Kg；</w:t>
      </w:r>
    </w:p>
    <w:p w14:paraId="4302401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准确等级：≥Ⅲ级</w:t>
      </w:r>
    </w:p>
    <w:p w14:paraId="36BB052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3、体质指数</w:t>
      </w:r>
    </w:p>
    <w:p w14:paraId="29D5933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符合国家相关</w:t>
      </w:r>
      <w:r>
        <w:rPr>
          <w:rFonts w:hint="eastAsia" w:ascii="宋体" w:hAnsi="宋体" w:eastAsia="宋体" w:cs="宋体"/>
          <w:color w:val="auto"/>
          <w:szCs w:val="21"/>
          <w:highlight w:val="none"/>
          <w:lang w:val="en-US" w:eastAsia="zh-CN"/>
        </w:rPr>
        <w:t>标准。</w:t>
      </w:r>
    </w:p>
    <w:p w14:paraId="43BA7BB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4、人体成分功能参数</w:t>
      </w:r>
    </w:p>
    <w:p w14:paraId="7D8296E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性别：男/女</w:t>
      </w:r>
    </w:p>
    <w:p w14:paraId="545108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检测人群：普通人群</w:t>
      </w:r>
    </w:p>
    <w:p w14:paraId="7659270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年龄范围：3—99岁</w:t>
      </w:r>
    </w:p>
    <w:p w14:paraId="16C645B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身高范围：60—200cm</w:t>
      </w:r>
    </w:p>
    <w:p w14:paraId="0175AF4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测量原理：DSM-BIA测量法或更先进方法。</w:t>
      </w:r>
    </w:p>
    <w:p w14:paraId="35BAD29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电极数：≥八电极</w:t>
      </w:r>
    </w:p>
    <w:p w14:paraId="3B2BA55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测试频率：5kHz/50 kHz/250 kHz/500 kHz/1000kHz</w:t>
      </w:r>
    </w:p>
    <w:p w14:paraId="065F521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测量电流：90μA或以下</w:t>
      </w:r>
    </w:p>
    <w:p w14:paraId="2170DD3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电极材质：304不锈钢与电镀材料</w:t>
      </w:r>
    </w:p>
    <w:p w14:paraId="1634DE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电阻分析部位：右手/左手/右足/左足/躯干</w:t>
      </w:r>
    </w:p>
    <w:p w14:paraId="31DB3A3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电阻分析部位：躯干(排除法)</w:t>
      </w:r>
    </w:p>
    <w:p w14:paraId="46DA3B6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电阻测量范围：205.0Ω～ 1480.0 Ω(上肢、下肢与躯干)</w:t>
      </w:r>
    </w:p>
    <w:p w14:paraId="3656B01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测量输出数据：</w:t>
      </w:r>
    </w:p>
    <w:p w14:paraId="064069C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人体成分数据：体脂肪、骨矿量(无机盐)、体水分、细胞内液、细胞外液、蛋白质、肌肉量、肌肉率、非脂肪含量、细胞外水分比率、体脂肪率、腰臀比、内脏脂肪等级、基础代谢、骨骼肌、骨骼肌率、内脏脂肪面积、身体浮肿指数等；</w:t>
      </w:r>
    </w:p>
    <w:p w14:paraId="5F4DDB3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节段脂肪分析：左上肢、左下肢、躯干、右上肢、右下肢；</w:t>
      </w:r>
    </w:p>
    <w:p w14:paraId="1395972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节段非脂肪分析：左上肢、左下肢、躯干、右上肢、右下肢</w:t>
      </w:r>
    </w:p>
    <w:p w14:paraId="5A9677C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节段水分分析：左上肢、左下肢、躯干、右上肢、右下肢</w:t>
      </w:r>
    </w:p>
    <w:p w14:paraId="0AA0AD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节段浮肿分析：左上肢、左下肢、躯干、右上肢、右下肢</w:t>
      </w:r>
    </w:p>
    <w:p w14:paraId="0B68E5E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重量控制：目标体重、体重控制、脂肪控制、肌肉控制、健康指数、身体年龄</w:t>
      </w:r>
    </w:p>
    <w:p w14:paraId="3C4CFA9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*运动建议：运动强度分析、自觉疲劳RPE、按体重与性别年龄的个性化运动项目及耗能、减重建议、每日摄入热量数据；</w:t>
      </w:r>
    </w:p>
    <w:p w14:paraId="38AD8B9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5、设备硬件参数</w:t>
      </w:r>
    </w:p>
    <w:p w14:paraId="187042F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CPU：四核及以上处理器，主频≥1.8GHz</w:t>
      </w:r>
    </w:p>
    <w:p w14:paraId="3DDD8FB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内存/存储：≥2G/8G</w:t>
      </w:r>
    </w:p>
    <w:p w14:paraId="74B8D52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显示与触摸：≥10.1寸</w:t>
      </w:r>
    </w:p>
    <w:p w14:paraId="07BF095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分辨率：≥1280*800</w:t>
      </w:r>
    </w:p>
    <w:p w14:paraId="7D7A462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液晶面板材质：IPS屏幕</w:t>
      </w:r>
    </w:p>
    <w:p w14:paraId="2859CB5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表面硬度：≥6H</w:t>
      </w:r>
    </w:p>
    <w:p w14:paraId="7C612BA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网络功能：10/100M自适应以太网；</w:t>
      </w:r>
    </w:p>
    <w:p w14:paraId="491FAC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升级功能：支持USB系统软件升级</w:t>
      </w:r>
    </w:p>
    <w:p w14:paraId="217543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电源输入：AC:100V~240V、50Hz/60Hz</w:t>
      </w:r>
    </w:p>
    <w:p w14:paraId="7FDA2F0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平均功耗：≤48W</w:t>
      </w:r>
    </w:p>
    <w:p w14:paraId="0D6A44F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使用环境：15℃～45℃，≤95%（无冷凝）</w:t>
      </w:r>
    </w:p>
    <w:p w14:paraId="5E0D221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应无腐蚀性气体</w:t>
      </w:r>
    </w:p>
    <w:p w14:paraId="1EF02E0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6、软件功能参数:</w:t>
      </w:r>
    </w:p>
    <w:p w14:paraId="70EEE51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全自动检测:自动检测人体体重、人体成分,支持完整数据自动显示;</w:t>
      </w:r>
    </w:p>
    <w:p w14:paraId="0E95F40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报告输出:A4报告直接打印输出与U盘备份输出;</w:t>
      </w:r>
    </w:p>
    <w:p w14:paraId="34F2CFB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登录模式:刷身份证测量,测量完毕数据上传</w:t>
      </w:r>
    </w:p>
    <w:p w14:paraId="482726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注册管控功能:注册要有管理员确认方可开启;</w:t>
      </w:r>
    </w:p>
    <w:p w14:paraId="0E7F776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信息档案功能:拍照、详细信息录入、多种联系通讯信息录入与存储功能;</w:t>
      </w:r>
    </w:p>
    <w:p w14:paraId="05C5E69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*管理员与超级管理员功能：支持超级管理员，通过超级管理员，可设定设备各种参数与校准等</w:t>
      </w:r>
    </w:p>
    <w:p w14:paraId="42BF374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支持自定义检测数据上传的网络接口，可编辑上传地址；</w:t>
      </w:r>
    </w:p>
    <w:p w14:paraId="64D025D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可自定义关闭与修改软件界面LOGO；</w:t>
      </w:r>
    </w:p>
    <w:p w14:paraId="4A512C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隐私功能：可关闭用户隐私信息的显示与打印；</w:t>
      </w:r>
    </w:p>
    <w:p w14:paraId="244587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支持数据导出与导入功能；</w:t>
      </w:r>
    </w:p>
    <w:p w14:paraId="7966CB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挂主界面双语言一键切换,支持双语言自定义;</w:t>
      </w:r>
    </w:p>
    <w:p w14:paraId="2793C12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具备用户信息与数据存储功能，具备用户个人中心，可查看用户所有的历史检测数据，并打印历史检测的报告；</w:t>
      </w:r>
    </w:p>
    <w:p w14:paraId="235DE03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支持用户信息可修改编辑功能，支持用户卡变更功能；</w:t>
      </w:r>
    </w:p>
    <w:p w14:paraId="470524D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支持黑白激光打印机打印，支持彩色报告打印功能支持动态检测提示，人体成分检测进度可视化；</w:t>
      </w:r>
    </w:p>
    <w:p w14:paraId="32ABC7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设备支持多种不尚的联程升级功能，包括：支持系统USB手动升级，支持APP远程</w:t>
      </w:r>
    </w:p>
    <w:p w14:paraId="04058D8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*7、未成年人体成分x量报告</w:t>
      </w:r>
    </w:p>
    <w:p w14:paraId="1D02605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①测量身高围.60~r m</w:t>
      </w:r>
    </w:p>
    <w:p w14:paraId="0F1301D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②测量体重汽.5~2</w:t>
      </w:r>
    </w:p>
    <w:p w14:paraId="721F8EE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③测量项目：重、身高、肌肉、体脂肪量、儿童身体质量指数、体脂、肪率、节段平衡分机，重客制，基础代谢量、身体总评分、体型。</w:t>
      </w:r>
    </w:p>
    <w:p w14:paraId="7DA19DE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④身高成长曲线、体重成长曲线、同龄体重对比、同龄身高对比。</w:t>
      </w:r>
    </w:p>
    <w:p w14:paraId="19FED66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⑤成长曲线采用七条曲线分别标注相对曲线下限、曲线中位线和曲线上限以判断儿童成长状况与趋势。</w:t>
      </w:r>
    </w:p>
    <w:p w14:paraId="64DAB8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8、产品配置：</w:t>
      </w:r>
    </w:p>
    <w:p w14:paraId="21FFDC5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标准配置：设备主机、连接螺丝与工具、电源线及说明书相关文件资料。</w:t>
      </w:r>
    </w:p>
    <w:p w14:paraId="715F99F2">
      <w:pPr>
        <w:pStyle w:val="32"/>
        <w:ind w:left="0" w:leftChars="0" w:firstLine="422" w:firstLineChars="200"/>
        <w:jc w:val="both"/>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五</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坐位功率自行车（含血压、血氧）</w:t>
      </w:r>
    </w:p>
    <w:p w14:paraId="721D900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62F4C14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1、可供患者进行下肢主动性康复训练，也可进行心肺康复有氧训练；</w:t>
      </w:r>
    </w:p>
    <w:p w14:paraId="0E63911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2、阻力系统：采用涡流制动系统；</w:t>
      </w:r>
    </w:p>
    <w:p w14:paraId="7DBBB47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3、功率车屏幕显示：设备采用微电脑控制系统，显示屏有以下指标显示:目标心率上限、目标心率下限、报警心率、负荷、阻力、转速、时间、血压、血氧、心率；</w:t>
      </w:r>
    </w:p>
    <w:p w14:paraId="654EA77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4、座椅符合人体工学设计，座椅高度可实现电动升降调节，升降最大调节高度为300mm（±10mm）；</w:t>
      </w:r>
    </w:p>
    <w:p w14:paraId="1A21716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5、车把位置调整:可作360°旋转；</w:t>
      </w:r>
    </w:p>
    <w:p w14:paraId="11B9B39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训练模式：训练模式包含心率模式（心率功率、心率阻力）、功率模式（间歇模式、METS模式、功率模式）、测试模式（体能测试、运动测试）、其他模式（阻力模式、行程模式、速度模式、PC模式）。其中体能测试方案可进行斜坡或渐进式的选择。其中体能测试方案可进行斜坡或渐进式的选择。</w:t>
      </w:r>
    </w:p>
    <w:p w14:paraId="71B09F5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运动测试包含WHO测试、BAL测试、HOLLMAN测试、STD.France测试、Standard测试、10种自定义测试方案，体能测试包含斜坡方案、PWC-130、PWC-150、PWC-170至少四种体能测试方案。</w:t>
      </w:r>
    </w:p>
    <w:p w14:paraId="7D1CBA3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7、心率阻力模式下可实现以下功能：</w:t>
      </w:r>
    </w:p>
    <w:p w14:paraId="161140B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设定好目标心率后，一旦患者在运动过程中的实际心率高于目标心率时，阻力能自动降低，具有安全保护功能；当患者在运动过程中的实际心率低于目标心率时，阻力会自动增加，提高运动的有效性；</w:t>
      </w:r>
    </w:p>
    <w:p w14:paraId="3862E0B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8、可与运动心电图仪和运动心肺功能测试、血压计、血氧仪、心率带等设备连接；</w:t>
      </w:r>
    </w:p>
    <w:p w14:paraId="376A278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9、立式下肢功率车需配置底座，以保持设备的稳定性，防止患者摔倒。</w:t>
      </w:r>
    </w:p>
    <w:p w14:paraId="52EC961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（2）其他参数：</w:t>
      </w:r>
    </w:p>
    <w:p w14:paraId="7379C0D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1、操作面板：≥12.1英寸触摸屏；</w:t>
      </w:r>
    </w:p>
    <w:p w14:paraId="531AAA9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2、使用者最大体重：≥160kg；</w:t>
      </w:r>
    </w:p>
    <w:p w14:paraId="02325CF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3、具有心电采集、血压采集和血氧采集的功能；</w:t>
      </w:r>
    </w:p>
    <w:p w14:paraId="6B58162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4、语音功能：音量0-30级可调；</w:t>
      </w:r>
    </w:p>
    <w:p w14:paraId="2684777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5、报警功能：功率车具有报警功能，当患者心率超过报警心率时，设备会提示心率过高；当患者血氧过低时，设备会语音提示血氧过低；</w:t>
      </w:r>
    </w:p>
    <w:p w14:paraId="75E7CD2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6、阻力功率：设备可产生10-1100W的阻力功率；</w:t>
      </w:r>
    </w:p>
    <w:p w14:paraId="720FFFD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7、单次训练时间：1-60min；</w:t>
      </w:r>
    </w:p>
    <w:p w14:paraId="08504EF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8、单次训练行程：1-99999米；</w:t>
      </w:r>
    </w:p>
    <w:p w14:paraId="0E395E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9、转速范围:30—130转/分（±1转/分）；</w:t>
      </w:r>
    </w:p>
    <w:p w14:paraId="711BC7D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10、具有按键开机、关机功能；</w:t>
      </w:r>
    </w:p>
    <w:p w14:paraId="380084A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11、在功率车界面上可进行疲劳度等级评估；</w:t>
      </w:r>
    </w:p>
    <w:p w14:paraId="22E18D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12、患者训练结束后，在功率车界面可自动生成训练报告，报告内容有心率、功率、血压值、血氧值、阻力、速度、卡路里、行程等：</w:t>
      </w:r>
    </w:p>
    <w:p w14:paraId="10F6AF0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*13、电子刹车功能：可设置自动刹车和非自动刹车，在设置成自动刹车功能的时候，训练结束后功率车会被持续锁定；</w:t>
      </w:r>
    </w:p>
    <w:p w14:paraId="0D2E457D">
      <w:pPr>
        <w:pStyle w:val="32"/>
        <w:ind w:left="0" w:leftChars="0" w:firstLine="422" w:firstLineChars="200"/>
        <w:rPr>
          <w:rFonts w:hint="eastAsia"/>
          <w:b/>
          <w:bCs/>
          <w:color w:val="auto"/>
          <w:highlight w:val="none"/>
          <w:lang w:val="en-US" w:eastAsia="zh-CN"/>
        </w:rPr>
      </w:pPr>
      <w:r>
        <w:rPr>
          <w:rFonts w:hint="eastAsia"/>
          <w:b/>
          <w:bCs/>
          <w:color w:val="auto"/>
          <w:highlight w:val="none"/>
          <w:lang w:val="en-US" w:eastAsia="zh-CN"/>
        </w:rPr>
        <w:t>（六）斜躺式功率自行车</w:t>
      </w:r>
    </w:p>
    <w:p w14:paraId="24AE727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79862A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1、可供患者进行下肢主动性康复训练，也可进行心肺康复有氧训练；</w:t>
      </w:r>
    </w:p>
    <w:p w14:paraId="353299D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2、阻力系统：采用涡流制动系统；</w:t>
      </w:r>
    </w:p>
    <w:p w14:paraId="1175B1F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3、功率车屏幕显示：设备采用微电脑控制系统，显示屏有以下指标显示:目标心率上限、目标心率下限、报警心率、负荷、阻力、转速、时间、血压、血氧、心率；</w:t>
      </w:r>
    </w:p>
    <w:p w14:paraId="00CEEC0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4、座椅符合人体工学设计，座椅前后可实现电动调节，调节范围0-300mm（±10mm），座椅靠背可调节。</w:t>
      </w:r>
    </w:p>
    <w:p w14:paraId="571B6A4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训练模式：训练模式包含心率模式（心率功率、心率阻力）、功率模式（间歇模式、Mets模式、功率模式）、测试模式（体能测试、运动测试）、其他模式（阻力模式、行程模式、速度模式、PC模式）。其中体能测试方案可进行斜坡或渐进式的选择。</w:t>
      </w:r>
    </w:p>
    <w:p w14:paraId="7F660A7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运动测试包含WHO测试、BAL测试、HOLLMAN测试、STD.France测试、Standard测试、10种自定义测试方案，体能测试包含斜坡方案、PWC-130、PWC-150、PWC-170四种体能测试方案。</w:t>
      </w:r>
    </w:p>
    <w:p w14:paraId="4BFFAD7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6、心率阻力模式下可实现以下功能：</w:t>
      </w:r>
    </w:p>
    <w:p w14:paraId="772CC1E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设定好目标心率后，一旦患者在运动过程中的实际心率高于目标心率时，阻力能自动降低，具有安全保护功能；当患者在运动过程中的实际心率低于目标心率时，阻力会自动增加，提高运动的有效性；</w:t>
      </w:r>
    </w:p>
    <w:p w14:paraId="20E2DFB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7、可与运动心电图仪和运动心肺功能测试、血压计、血氧仪、心率带等设备连接；</w:t>
      </w:r>
    </w:p>
    <w:p w14:paraId="745D8A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（2）其他参数：</w:t>
      </w:r>
    </w:p>
    <w:p w14:paraId="08EF8B4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1、操作面板：≥ 12.1英寸触摸屏；</w:t>
      </w:r>
    </w:p>
    <w:p w14:paraId="35D04C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2、使用者最大体重：≥160kg；</w:t>
      </w:r>
    </w:p>
    <w:p w14:paraId="6C6049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3、具有心电采集、血压采集和血氧采集的功能；</w:t>
      </w:r>
    </w:p>
    <w:p w14:paraId="06E5464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4、语音功能：音量0-30级可调；</w:t>
      </w:r>
    </w:p>
    <w:p w14:paraId="473870B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5、报警功能：功率车具有报警功能，当患者心率超过报警心率时，设备会提示心率过高；当患者血氧过低时，设备会语音提示血氧过低；</w:t>
      </w:r>
    </w:p>
    <w:p w14:paraId="2D40FC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6、阻力功率：设备可产生10-1100W的阻力功率；</w:t>
      </w:r>
    </w:p>
    <w:p w14:paraId="23B33F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7、单次训练时间：1-60min；</w:t>
      </w:r>
    </w:p>
    <w:p w14:paraId="6CDE498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8、单次训练行程：1-99999米；</w:t>
      </w:r>
    </w:p>
    <w:p w14:paraId="44E87E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9、转速范围:30—130转/分（±1转/分）；</w:t>
      </w:r>
    </w:p>
    <w:p w14:paraId="55888CB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10、具有按键开机、关机功能；</w:t>
      </w:r>
    </w:p>
    <w:p w14:paraId="7A91518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11、在功率车界面上可进行疲劳度等级评估；</w:t>
      </w:r>
    </w:p>
    <w:p w14:paraId="35848E5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12、患者训练结束后，在功率车界面可自动生成训练报告，报告内容有心率、功率、血压值、血氧值、阻力、速度、卡路里、行程等：</w:t>
      </w:r>
    </w:p>
    <w:p w14:paraId="79378B7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*13、电子刹车功能：可设置自动刹车和非自动刹车，在设置成自动刹车功能的时候，训练结束后功率车会被持续锁定；</w:t>
      </w:r>
    </w:p>
    <w:p w14:paraId="528FD088">
      <w:pPr>
        <w:pStyle w:val="32"/>
        <w:ind w:left="0" w:leftChars="0" w:firstLine="422"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（七）坐式液压抗阻划船机</w:t>
      </w:r>
    </w:p>
    <w:p w14:paraId="7EE7013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1.油缸力值调节档数</w:t>
      </w:r>
      <w:r>
        <w:rPr>
          <w:rFonts w:hint="eastAsia" w:ascii="宋体" w:hAnsi="宋体" w:cs="宋体"/>
          <w:color w:val="auto"/>
          <w:kern w:val="2"/>
          <w:sz w:val="21"/>
          <w:szCs w:val="21"/>
          <w:highlight w:val="none"/>
          <w:lang w:val="en-US" w:eastAsia="zh-CN" w:bidi="ar-SA"/>
        </w:rPr>
        <w:t>至少</w:t>
      </w:r>
      <w:r>
        <w:rPr>
          <w:rFonts w:hint="eastAsia" w:ascii="宋体" w:hAnsi="宋体" w:eastAsia="宋体" w:cs="宋体"/>
          <w:color w:val="auto"/>
          <w:kern w:val="2"/>
          <w:sz w:val="21"/>
          <w:szCs w:val="21"/>
          <w:highlight w:val="none"/>
          <w:lang w:val="en-US" w:eastAsia="zh-CN" w:bidi="ar-SA"/>
        </w:rPr>
        <w:t>12档；</w:t>
      </w:r>
    </w:p>
    <w:p w14:paraId="2438E8A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2.坐垫中心至脚踏板距离70～105cm；</w:t>
      </w:r>
    </w:p>
    <w:p w14:paraId="344D89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3.最大承载能力≥120kg；</w:t>
      </w:r>
    </w:p>
    <w:p w14:paraId="0FB781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4.腰背肌、上肢屈肌群、下肢伸屈群的肌力及耐力训练。</w:t>
      </w:r>
    </w:p>
    <w:p w14:paraId="5F44AC3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（八）上肢滑轮训练系统</w:t>
      </w:r>
    </w:p>
    <w:p w14:paraId="7000F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1.用于肩关节活动范围训练；</w:t>
      </w:r>
    </w:p>
    <w:p w14:paraId="1AF9713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2.关节牵引；</w:t>
      </w:r>
    </w:p>
    <w:p w14:paraId="17190A6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3.肌力训练</w:t>
      </w:r>
      <w:r>
        <w:rPr>
          <w:rFonts w:hint="eastAsia" w:ascii="宋体" w:hAnsi="宋体" w:cs="宋体"/>
          <w:color w:val="auto"/>
          <w:kern w:val="2"/>
          <w:sz w:val="21"/>
          <w:szCs w:val="21"/>
          <w:highlight w:val="none"/>
          <w:lang w:val="en-US" w:eastAsia="zh-CN" w:bidi="ar-SA"/>
        </w:rPr>
        <w:t>；</w:t>
      </w:r>
    </w:p>
    <w:p w14:paraId="4DB9BDB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4.使用寿命长，高品质材质。</w:t>
      </w:r>
    </w:p>
    <w:p w14:paraId="233D30E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（九）下肢抗阻训练器</w:t>
      </w:r>
      <w:r>
        <w:rPr>
          <w:rFonts w:hint="eastAsia" w:ascii="宋体" w:hAnsi="宋体" w:eastAsia="宋体" w:cs="宋体"/>
          <w:b/>
          <w:bCs/>
          <w:color w:val="auto"/>
          <w:kern w:val="2"/>
          <w:sz w:val="21"/>
          <w:szCs w:val="21"/>
          <w:highlight w:val="none"/>
          <w:lang w:val="en-US" w:eastAsia="zh-CN" w:bidi="ar-SA"/>
        </w:rPr>
        <w:tab/>
      </w:r>
    </w:p>
    <w:p w14:paraId="1DC5AE9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1.坐垫前后调节范围0～23cm；</w:t>
      </w:r>
    </w:p>
    <w:p w14:paraId="14AE0F0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2.阻尼调节档数至少8；</w:t>
      </w:r>
    </w:p>
    <w:p w14:paraId="3E240C4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3.额定载荷，靠背垫≥70kg，坐垫≥135kg；</w:t>
      </w:r>
    </w:p>
    <w:p w14:paraId="43CF5EA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4.改善下肢关节活动范围和协调功能。</w:t>
      </w:r>
    </w:p>
    <w:p w14:paraId="1C36E928">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（十）多功能训练长椅（带滑轮系统）</w:t>
      </w:r>
    </w:p>
    <w:p w14:paraId="65A7B3D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1.座面高度：≥67cm；</w:t>
      </w:r>
    </w:p>
    <w:p w14:paraId="207ACC1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2.坐面宽度：≥65cm；</w:t>
      </w:r>
    </w:p>
    <w:p w14:paraId="5CC6C22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3.扶手宽度：≥81cm；</w:t>
      </w:r>
    </w:p>
    <w:p w14:paraId="64D639C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4.升降支架可调距离：0~15㎝；</w:t>
      </w:r>
    </w:p>
    <w:p w14:paraId="7B76A93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5.小腿垫可调距离：0~47㎝；</w:t>
      </w:r>
    </w:p>
    <w:p w14:paraId="3DE26FE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6.助力手柄可调距离：0~28㎝；</w:t>
      </w:r>
    </w:p>
    <w:p w14:paraId="18A26F3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7.座位额定负载质量≥135kg, 靠背额定负载质量≥70kg，靠背平放时额定负载质≥70g；</w:t>
      </w:r>
    </w:p>
    <w:p w14:paraId="47A92D9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8.小腿支架摆动角度：不小于120°哑铃片质量及数量：每块1.5kg，至少6块；</w:t>
      </w:r>
    </w:p>
    <w:p w14:paraId="56A5DAE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9.关节运动受限患者进行股四头肌抗阻力主动训练和被动训练，也可进行膝关节牵引。</w:t>
      </w:r>
    </w:p>
    <w:p w14:paraId="6C9623B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（十一）呼吸训练器（高频振荡排痰仪)</w:t>
      </w:r>
    </w:p>
    <w:p w14:paraId="2BBE970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1、适用范围：用于胸腔外部处置时进行气道清除排痰治疗，适用于分泌物排出困难或由粘液阻塞引起的肺膨胀不全患者，同时促进气道清除排痰或改善支气管引流。</w:t>
      </w:r>
    </w:p>
    <w:p w14:paraId="766F96A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2、主要构成：由主机(内置气动脉冲发生器)、导气软管、充气背心和手控器组成。</w:t>
      </w:r>
    </w:p>
    <w:p w14:paraId="77230A0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3、结构形式；便携式兼备台式功能(可装配撑杆座)。</w:t>
      </w:r>
    </w:p>
    <w:p w14:paraId="65E8DD0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4、显示方式：彩色液晶界面显示方式。</w:t>
      </w:r>
    </w:p>
    <w:p w14:paraId="699725C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5、按键方式：一键飞梭的操作方式，所有功能的调节仅需通过对一个键施以旋转及按压动作即可全部完成。</w:t>
      </w:r>
    </w:p>
    <w:p w14:paraId="1DB6871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6、导气方式：采用二根导气软管同步向充气青心充、放气。软管长度120~200cm,管内直径25~35mm,</w:t>
      </w:r>
    </w:p>
    <w:p w14:paraId="47F96D2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7、能快速拆装并可独立清洗的全胸充气背心，背心由外套及气囊两部分组成，可以拆卸，外套可按普通衣物的方式随时清洗，背心胸围尺寸43~175cm。</w:t>
      </w:r>
    </w:p>
    <w:p w14:paraId="43EED73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8、压力范围：0.5kpa~3.2kpa,至少分10档可调，步距增量约0.3kpa。</w:t>
      </w:r>
    </w:p>
    <w:p w14:paraId="22241D4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*9、振动频率：5Hz~30Hz,连续可调，步距增量1Hz。</w:t>
      </w:r>
    </w:p>
    <w:p w14:paraId="606D9D1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10、手动模式：治疗中压力及频率可随时调节。</w:t>
      </w:r>
    </w:p>
    <w:p w14:paraId="677545F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*11、自动模式：按体型不同而分级定制，共有至少5种自动程序模式。压力及频率是固定值、不可调。</w:t>
      </w:r>
    </w:p>
    <w:p w14:paraId="3535613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5种模式为：(6Hz-7Hz-8Hz-7Hz)、(7Ha-8Hz-10Hz-8Hz)、(8Hz-10Hz-12Hz-9Hz)、(9H1z-11Hz-13Hz-10Hz)、(10Hz-13Hz-15Hz-11Hz),设备可按照选定的阶梯模式运行。</w:t>
      </w:r>
    </w:p>
    <w:p w14:paraId="5E2B0ED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12、自定义模式：治疗前设定各时段的压力及频率，治疗中不可调。</w:t>
      </w:r>
    </w:p>
    <w:p w14:paraId="4EDCA9B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13、定时时间：自动模式、白定义模式至少分为5min、10nin.15min和20min四档。手动模式lmin~99min连续可调，步距lmin。</w:t>
      </w:r>
    </w:p>
    <w:p w14:paraId="00ACA97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14、设备标配的手控触发器至少有“加压”、“启动”、“停止”三项功能，必要时可利用手控器进行快速停机。</w:t>
      </w:r>
    </w:p>
    <w:p w14:paraId="4A609E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b/>
          <w:bCs/>
          <w:color w:val="auto"/>
          <w:sz w:val="28"/>
          <w:szCs w:val="28"/>
          <w:highlight w:val="none"/>
          <w:lang w:val="en-US" w:eastAsia="zh-CN"/>
        </w:rPr>
      </w:pPr>
      <w:r>
        <w:rPr>
          <w:rFonts w:hint="eastAsia" w:ascii="宋体" w:hAnsi="宋体" w:eastAsia="宋体" w:cs="宋体"/>
          <w:color w:val="auto"/>
          <w:kern w:val="2"/>
          <w:sz w:val="21"/>
          <w:szCs w:val="21"/>
          <w:highlight w:val="none"/>
          <w:lang w:val="en-US" w:eastAsia="zh-CN" w:bidi="ar-SA"/>
        </w:rPr>
        <w:t>15、具有储存和查询历史治疗信息的功能。</w:t>
      </w:r>
    </w:p>
    <w:p w14:paraId="02C19BE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仿宋" w:hAnsi="仿宋" w:eastAsia="仿宋" w:cs="仿宋"/>
          <w:b/>
          <w:bCs/>
          <w:color w:val="auto"/>
          <w:sz w:val="28"/>
          <w:szCs w:val="28"/>
          <w:highlight w:val="none"/>
          <w:lang w:val="en-US" w:eastAsia="zh-CN"/>
        </w:rPr>
      </w:pPr>
      <w:r>
        <w:rPr>
          <w:rFonts w:hint="eastAsia" w:ascii="宋体" w:hAnsi="宋体" w:eastAsia="宋体" w:cs="宋体"/>
          <w:b/>
          <w:bCs/>
          <w:color w:val="auto"/>
          <w:kern w:val="2"/>
          <w:sz w:val="21"/>
          <w:szCs w:val="21"/>
          <w:highlight w:val="none"/>
          <w:lang w:val="en-US" w:eastAsia="zh-CN" w:bidi="ar-SA"/>
        </w:rPr>
        <w:t>（十二）呼吸机训练器（阀值负荷型）</w:t>
      </w:r>
    </w:p>
    <w:p w14:paraId="77EEFD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1、适用范围：用于胸肺部疾病、外科手术、麻醉、机械通气等导致肺功能下降后，患者肺呼吸功能恢复；减少和预防术后肺部并发症；</w:t>
      </w:r>
    </w:p>
    <w:p w14:paraId="5CD8783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2、使用功能：可用于正压、机械通气，封堵发声训练，辅助振动排痰，需要呼吸训练的患者；</w:t>
      </w:r>
    </w:p>
    <w:p w14:paraId="460D40D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3、产品组成：由咬嘴、呼气流主体腔、振动翘板、振动调节转盘等组成；</w:t>
      </w:r>
    </w:p>
    <w:p w14:paraId="48275BD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4、产品材质要求：主体采用PP材料，能耐受至少136度高温，辅助件304不锈钢，磁力至少2000高斯；</w:t>
      </w:r>
    </w:p>
    <w:p w14:paraId="7127F8C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5、振动调节转盘：1-5档可调；</w:t>
      </w:r>
    </w:p>
    <w:p w14:paraId="4EB12C8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6、产品外观：结构完整、标识清晰、牢固，外表面色泽均匀、清洁无污迹、无明显划痕、无杂质气泡，主体长度：≥160mm±5mm，主体外径：≤58mm±2mm,咬嘴长度：49mm±2mm，咬嘴外径：31mm±2mm；</w:t>
      </w:r>
    </w:p>
    <w:p w14:paraId="3C0360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7、强度要求：各部件连接件间承受至少15N的轴向静拉力15秒，且各部件连接处的配合应灵活可靠，盖上或取下时无阻力。</w:t>
      </w:r>
    </w:p>
    <w:p w14:paraId="31E7A7B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（十三）呼吸机训练器（容量型）</w:t>
      </w:r>
    </w:p>
    <w:p w14:paraId="4A3D0DE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1.呼吸训练器的吸气口表面应光滑，无毛刺。</w:t>
      </w:r>
    </w:p>
    <w:p w14:paraId="2365BFC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2.训练器的流量指示球和活塞升起时的气体流量</w:t>
      </w:r>
    </w:p>
    <w:p w14:paraId="05A8D8E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2.1流量指示球：≥300×(1±15%)mL/S;</w:t>
      </w:r>
    </w:p>
    <w:p w14:paraId="7BD9D61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2.2活塞：</w:t>
      </w:r>
    </w:p>
    <w:p w14:paraId="7E70555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≥300-2500×(1±15%)mL/S;</w:t>
      </w:r>
    </w:p>
    <w:p w14:paraId="65C211A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≥300-4000×(1±15%)mL/S;</w:t>
      </w:r>
    </w:p>
    <w:p w14:paraId="201F8F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≥300-5000×(1±15%)mL/S</w:t>
      </w:r>
    </w:p>
    <w:p w14:paraId="60F906D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2.3训练器的流量指示球和活塞升起时的气压</w:t>
      </w:r>
    </w:p>
    <w:p w14:paraId="6386B14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2.3.1流量指示球：≥0.008×(1±60%)kPa;</w:t>
      </w:r>
    </w:p>
    <w:p w14:paraId="47F03F9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2.3.2活塞：</w:t>
      </w:r>
    </w:p>
    <w:p w14:paraId="5A73C8F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≥0.008-0.067×(1±60%)kPa;</w:t>
      </w:r>
    </w:p>
    <w:p w14:paraId="31BF658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≥0.008-0.107×(1±60%)kPa;</w:t>
      </w:r>
    </w:p>
    <w:p w14:paraId="32F5CC1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≥0.008-0.133×(1±60%)kPa.</w:t>
      </w:r>
    </w:p>
    <w:p w14:paraId="1114A54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2.4呼吸训练器框架密封线的承压力</w:t>
      </w:r>
    </w:p>
    <w:p w14:paraId="073C8D5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呼吸训练器框架密封线的承压力应&lt;10Kg。</w:t>
      </w:r>
    </w:p>
    <w:p w14:paraId="5AF14EB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2.5折叠软管口径及长度</w:t>
      </w:r>
    </w:p>
    <w:p w14:paraId="16128AD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2.5.1口径：≥2.3cm</w:t>
      </w:r>
    </w:p>
    <w:p w14:paraId="3A4D35E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2.5.2长度：折叠后长度为≥13.5x(1±5%)cm;折叠软管完全伸展之后长度为≥32x(1±5%)cm。</w:t>
      </w:r>
    </w:p>
    <w:p w14:paraId="04E130C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2.6折叠式软管与过滤器和吸气口的连接强度</w:t>
      </w:r>
    </w:p>
    <w:p w14:paraId="5363F8C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2.6.1软管与过滤器的连接强度：该连接的分离力&gt;50N。</w:t>
      </w:r>
    </w:p>
    <w:p w14:paraId="25A75B36">
      <w:pPr>
        <w:spacing w:line="360" w:lineRule="auto"/>
        <w:ind w:firstLine="420" w:firstLineChars="200"/>
        <w:rPr>
          <w:rFonts w:hint="eastAsia" w:ascii="仿宋" w:hAnsi="仿宋" w:eastAsia="仿宋" w:cs="仿宋"/>
          <w:b w:val="0"/>
          <w:bCs w:val="0"/>
          <w:color w:val="auto"/>
          <w:sz w:val="28"/>
          <w:szCs w:val="28"/>
          <w:highlight w:val="none"/>
          <w:lang w:val="en-US" w:eastAsia="zh-CN"/>
        </w:rPr>
      </w:pPr>
      <w:r>
        <w:rPr>
          <w:rFonts w:hint="eastAsia" w:ascii="宋体" w:hAnsi="宋体" w:eastAsia="宋体" w:cs="宋体"/>
          <w:color w:val="auto"/>
          <w:kern w:val="2"/>
          <w:sz w:val="21"/>
          <w:szCs w:val="21"/>
          <w:highlight w:val="none"/>
          <w:lang w:val="en-US" w:eastAsia="zh-CN" w:bidi="ar-SA"/>
        </w:rPr>
        <w:t>2.6.2软管与吸气口的连接强度：该连接的分离力&gt;50N。</w:t>
      </w:r>
    </w:p>
    <w:p w14:paraId="52B02C8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（十四）高流量湿化氧疗仪</w:t>
      </w:r>
    </w:p>
    <w:p w14:paraId="57BEE9C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1、符合</w:t>
      </w:r>
      <w:r>
        <w:rPr>
          <w:rFonts w:hint="eastAsia" w:ascii="宋体" w:hAnsi="宋体" w:cs="宋体"/>
          <w:color w:val="auto"/>
          <w:kern w:val="2"/>
          <w:sz w:val="21"/>
          <w:szCs w:val="21"/>
          <w:highlight w:val="none"/>
          <w:lang w:val="en-US" w:eastAsia="zh-CN" w:bidi="ar-SA"/>
        </w:rPr>
        <w:t>国家相关</w:t>
      </w:r>
      <w:r>
        <w:rPr>
          <w:rFonts w:hint="eastAsia" w:ascii="宋体" w:hAnsi="宋体" w:eastAsia="宋体" w:cs="宋体"/>
          <w:color w:val="auto"/>
          <w:kern w:val="2"/>
          <w:sz w:val="21"/>
          <w:szCs w:val="21"/>
          <w:highlight w:val="none"/>
          <w:lang w:val="en-US" w:eastAsia="zh-CN" w:bidi="ar-SA"/>
        </w:rPr>
        <w:t>要求。</w:t>
      </w:r>
    </w:p>
    <w:p w14:paraId="0614D0C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 、防电击类型：至少 Ⅱ类。</w:t>
      </w:r>
    </w:p>
    <w:p w14:paraId="6BE8653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3、防电击程度：至少BF型</w:t>
      </w:r>
    </w:p>
    <w:p w14:paraId="4FF13EC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 、防水等级：主机：至少IPX1</w:t>
      </w:r>
    </w:p>
    <w:p w14:paraId="79A1A99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5、控氧装置：一体化自动控氧 </w:t>
      </w:r>
    </w:p>
    <w:p w14:paraId="27BAED0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6、流量输出范围：2L-80L/min。</w:t>
      </w:r>
    </w:p>
    <w:p w14:paraId="754F3F9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7、氧浓度输出范围：21%-100%,精度1%。</w:t>
      </w:r>
    </w:p>
    <w:p w14:paraId="64F74E1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8、温度调节档位：至少7档，精度1%。</w:t>
      </w:r>
    </w:p>
    <w:p w14:paraId="2032EEB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9、温度输出范围：31℃-37℃。</w:t>
      </w:r>
    </w:p>
    <w:p w14:paraId="744E114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*10、输出流量模式至少：高流量2L/min-80L/min,低流量(儿童模式)2L/min-25L/min。</w:t>
      </w:r>
    </w:p>
    <w:p w14:paraId="66963F2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11.流量输出模式可调控范围至少：2L/min-25L/min 步长为1L/min,25L/min-80L/min步长为5L/min。 </w:t>
      </w:r>
    </w:p>
    <w:p w14:paraId="54340C7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12、显示屏幕：≥4.3寸彩色屏幕</w:t>
      </w:r>
    </w:p>
    <w:p w14:paraId="4278858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告警和提示功能：管路温度过高告警笃路六连接告警、湿化罐缺水告警、气路堵塞告警、气路漏气告警、温度达不到预设值营警、流量计不预设值告警、氧浓度达不到预设值告警、氧气未关闭告警、工作中断电告警、内部故障告警、环境温度偏低/高提示、机器保养时间到提示、预设治疗时间完成提示 预设干燥时间完成提示、开始管路干燥提示等。</w:t>
      </w:r>
    </w:p>
    <w:p w14:paraId="6727282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*14、呼吸管路功能：治疗结束后可对呼吸管路热风干燥和清洁，内置加热丝位于内管和外管的夹层中间。内管内壁光滑，外管隔热良好。</w:t>
      </w:r>
    </w:p>
    <w:p w14:paraId="04096A3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15、显示和声音双控报警：可一键关闭耗材湿化罐：自动注水。</w:t>
      </w:r>
    </w:p>
    <w:p w14:paraId="11119CF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*16、呼吸管路：专利双层加温管路，全程控制冷凝水患者界面：大.中.小各尺寸硅胶鼻塞导管，可选配气切患者界面。</w:t>
      </w:r>
    </w:p>
    <w:p w14:paraId="4DF10C0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17、主机免消毒：主机回路免消毒。</w:t>
      </w:r>
    </w:p>
    <w:p w14:paraId="056902D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*18、血氧监测功能：(血氧饱和度监测)测量范围70%-100%分辨率1%,误差±3%以内。(脉率监测)测量范围25bpm-245bpm,分辨率1bpm 。误差±2bpm 以内，并在主页面可显示。</w:t>
      </w:r>
    </w:p>
    <w:p w14:paraId="52756424">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（十五）无创呼吸机</w:t>
      </w:r>
    </w:p>
    <w:p w14:paraId="700830A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1.屏幕显示：≥7英寸液晶彩屏+触摸屏，可同屏显示：监测参数和压力、流量、容量波形曲线。</w:t>
      </w:r>
    </w:p>
    <w:p w14:paraId="4733E00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2.治疗波形曲线：压力、容量、流量波形曲线在主动触发和强制触发下显示不同的颜色。</w:t>
      </w:r>
    </w:p>
    <w:p w14:paraId="0BE2456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*3.触摸屏+三个按键和一个旋钮可进行双操作模式，具有自动锁屏功能，可防止误操作改动参数：5分钟无操作，屏幕自动上锁不能进行参数设置。</w:t>
      </w:r>
    </w:p>
    <w:p w14:paraId="3CBCCD3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4.吸气/呼气压力：4cmH2O～40cmH2O，调节步进0.2cmH2O。</w:t>
      </w:r>
    </w:p>
    <w:p w14:paraId="6A05373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5.压力上升/下降时间：设置范围100ms～900ms，调节步进50ms。</w:t>
      </w:r>
    </w:p>
    <w:p w14:paraId="54DBF9C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6.备份频率：5～60bpm，步进1bpm，误差±1bpm。</w:t>
      </w:r>
    </w:p>
    <w:p w14:paraId="107E992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7.吸气/呼气灵敏度：≥五档，步进1档。</w:t>
      </w:r>
    </w:p>
    <w:p w14:paraId="011920A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*8.具备容量保证功能，TVV-ST和TVV-APCV模式可设置目标潮气量，设置范围200～1200ml，调节步进10ml，显示范围：0～1500ml，分辨率：≥1ml。</w:t>
      </w:r>
    </w:p>
    <w:p w14:paraId="1E042F4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9.吸气时间：设置范围0.1～4s,调节步进0.1s。</w:t>
      </w:r>
    </w:p>
    <w:p w14:paraId="149E6E0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10.吸气最小/最大时间设置范围0.1～4s,调节步进0.1s。</w:t>
      </w:r>
    </w:p>
    <w:p w14:paraId="4DC1130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11.延时升压设置范围0-60min,调节步进1min，CPAP模式压力从4cmH2O上升到设定压力，其他模式压力从4cmH2O上升到呼气压力。</w:t>
      </w:r>
    </w:p>
    <w:p w14:paraId="7F68451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12.屏幕亮度设置范围10%～100%，调节步进10%。</w:t>
      </w:r>
    </w:p>
    <w:p w14:paraId="766E687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13.吸呼比设置范围10%～90%，调节步进1%。</w:t>
      </w:r>
    </w:p>
    <w:p w14:paraId="16F02D2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14.背光时间设置范围1～60min，调节步进1min。</w:t>
      </w:r>
    </w:p>
    <w:p w14:paraId="5C212CF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15.监测参数：漏气量，分钟通气量，呼吸频率，潮气量，吸气时长；呼气时长；实时工作压力压力。</w:t>
      </w:r>
    </w:p>
    <w:p w14:paraId="786F16A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*16.可以通过触摸屏或者旋钮进行设置的报警：窒息报警（可设置：开/关，设置范围：10～60s，调节间隔为1s）、压力过高报警（可设置：开/关，设置范围：5～45cmH2O，调节间隔为 1cmH2O）、压力过低报警（可设置：开/关，设置范围：4～10cmH2O，调节间隔为 1cmH2O）、低潮气量报警（可设置：开/关，设置范围：100～1200ml，调节间隔为 50ml）、大量漏气报警（可设置：开/关，设置范围：30L/min～100L/min，调节间隔 为1L/min）、分钟通气量过低报警（可设置：开/关，设置范围：2L/min～30L/min，调节间隔 为1L/min）、呼吸频率过高报警（可设置：开/关，设置范围：5bpm～60bpm，调节间隔 为1bpm）、呼吸频率过低报警（可设置：开/关，设置范围：3bpm～30bpm，调节间隔 为1bpm）、面罩脱落。( 此项中的报警条数可根据实际投标情况单个报警或者多个报警组合使用）</w:t>
      </w:r>
    </w:p>
    <w:p w14:paraId="40BBC3F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17.最大流量可达190L/min,自动进行漏气补偿，最大漏气补偿可达120L/min。</w:t>
      </w:r>
    </w:p>
    <w:p w14:paraId="469C124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18.工作模式：CPAP，S，T，ST，APCV，TVV-ST，TVV-APCV，IPVS，HF。</w:t>
      </w:r>
    </w:p>
    <w:p w14:paraId="4338BB4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19.HF模式流量设置范围：10-80L/min，步长：1L/min；最高压力：4cmH2O～40cmH2O，调节步进0.2cmH2O。</w:t>
      </w:r>
    </w:p>
    <w:p w14:paraId="70C478B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*20.有IPVS模式，可以自动根据身高和体重自动计算出患者的潮气量。</w:t>
      </w:r>
    </w:p>
    <w:p w14:paraId="7EB6E8A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21.配有高压氧气连接管和浮标流量计，可直接连接氧气终端和氧气瓶，氧气流量最大调节到15L/min。同时配有低压氧气连接管，可接低压氧气。</w:t>
      </w:r>
    </w:p>
    <w:p w14:paraId="320809D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22.数据存储：≥8G TF卡。</w:t>
      </w:r>
    </w:p>
    <w:p w14:paraId="5931425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23.电池：内置锂电池，锂电池装入机器内部，单独使用电池时：运行时间大于等于8小时。具备电池电量低报警和电池电量耗尽报警。</w:t>
      </w:r>
    </w:p>
    <w:p w14:paraId="7A93DA1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24.配台车和吊臂，台车配氧气瓶5L，配合锂电池可用于院内检查和院间转运。</w:t>
      </w:r>
    </w:p>
    <w:p w14:paraId="507F7DA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26.具备近端压力采样功能。</w:t>
      </w:r>
    </w:p>
    <w:p w14:paraId="30E73B2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27.配备外置专业医用湿化器。</w:t>
      </w:r>
    </w:p>
    <w:p w14:paraId="4FCE9BE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（十六）除颤监护仪</w:t>
      </w:r>
    </w:p>
    <w:p w14:paraId="31379CE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1.具备手动除颤、心电监护功能，可选自动体外除颤（AED）功能。除颤具备自动阻抗补偿功能；可选配升级体外起搏功能，起搏分为固定和按需两种模式。具备降速起搏功能。配专用体内除颤附件包。</w:t>
      </w:r>
    </w:p>
    <w:p w14:paraId="1053A5B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2.同步除颤和手动除颤中，能量分25档以上，可通过体外电极板进行能量选择最小为1J，最大为360J。</w:t>
      </w:r>
    </w:p>
    <w:p w14:paraId="4412CE8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3.支持AED除颤功能，电击能量：100～360J。</w:t>
      </w:r>
    </w:p>
    <w:p w14:paraId="612D83F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4.除颤充电迅速，充电至200J&lt;3s，充电至360J&lt;7s。</w:t>
      </w:r>
    </w:p>
    <w:p w14:paraId="5231A23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5.体外除颤电极板手柄支持充电、放电、能量选择，具备充电完成指示灯。成人、小儿一体化电极板。</w:t>
      </w:r>
    </w:p>
    <w:p w14:paraId="3712358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6.病人阻抗范围：体外除颤：20~250Ω；体内除颤：15-250Ω。</w:t>
      </w:r>
    </w:p>
    <w:p w14:paraId="4492C0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7.监护功能：可选配升级SpO2、体温、NIBP、EtCO2监测功能。具有≥27种心律失常分析。</w:t>
      </w:r>
    </w:p>
    <w:p w14:paraId="41FBE7E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*8.支持3/5/6/12导和自动导联心电监测，并提供12导联心电静息报告输出功能。</w:t>
      </w:r>
    </w:p>
    <w:p w14:paraId="09B1DF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*9.配备1块电池，最大可支持360J除颤210次，电池体上带有五段LED 电池电量指示装置，用于快速评估电池电量。</w:t>
      </w:r>
    </w:p>
    <w:p w14:paraId="4D00D02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10.具备生理报警和技术报警功能，并且具有双报警灯，分别显示生理报警和技术报警。</w:t>
      </w:r>
    </w:p>
    <w:p w14:paraId="6B96A36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*11.彩色TFT显示屏≥7英寸, 分辨率≥800×480，可显示≥4道监护参数波形，有高对比度显示界面。</w:t>
      </w:r>
    </w:p>
    <w:p w14:paraId="5E0C278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12.体外除颤监护仪可升级配置50mm记录仪，实时记录时间有3秒、5秒、8秒、16秒、32秒、连续可供选择。</w:t>
      </w:r>
    </w:p>
    <w:p w14:paraId="3AD295F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13.主机具备录音功能，最大支持≥240min录音存储。</w:t>
      </w:r>
    </w:p>
    <w:p w14:paraId="776428E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14.关机状态下设备可自动运行自检，支持大能量自检（不低于200J）、屏幕、按键检测。</w:t>
      </w:r>
    </w:p>
    <w:p w14:paraId="5B4BC45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（十七）心电图机</w:t>
      </w:r>
    </w:p>
    <w:p w14:paraId="51F50C6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（1）心电采集显示</w:t>
      </w:r>
    </w:p>
    <w:p w14:paraId="5F8D70D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1.信号输入：12导联同步采集，具有除颤保护和起搏脉冲抑制；</w:t>
      </w:r>
    </w:p>
    <w:p w14:paraId="07AD253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2.耐极化电压：≥±600mV</w:t>
      </w:r>
    </w:p>
    <w:p w14:paraId="7362626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3.时间常数：≥3.2s</w:t>
      </w:r>
    </w:p>
    <w:p w14:paraId="5DBC93E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4.频率响应：0.05Hz</w:t>
      </w:r>
      <w:r>
        <w:rPr>
          <w:rFonts w:hint="eastAsia" w:ascii="宋体" w:hAnsi="宋体" w:eastAsia="宋体" w:cs="宋体"/>
          <w:color w:val="auto"/>
          <w:kern w:val="2"/>
          <w:sz w:val="21"/>
          <w:szCs w:val="21"/>
          <w:highlight w:val="none"/>
          <w:lang w:val="en-US" w:eastAsia="zh-CN" w:bidi="ar-SA"/>
        </w:rPr>
        <w:softHyphen/>
      </w:r>
      <w:r>
        <w:rPr>
          <w:rFonts w:hint="eastAsia" w:ascii="宋体" w:hAnsi="宋体" w:eastAsia="宋体" w:cs="宋体"/>
          <w:color w:val="auto"/>
          <w:kern w:val="2"/>
          <w:sz w:val="21"/>
          <w:szCs w:val="21"/>
          <w:highlight w:val="none"/>
          <w:lang w:val="en-US" w:eastAsia="zh-CN" w:bidi="ar-SA"/>
        </w:rPr>
        <w:t xml:space="preserve"> -200Hz</w:t>
      </w:r>
    </w:p>
    <w:p w14:paraId="18F4AEB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5.噪声电平：≤12.5μV</w:t>
      </w:r>
    </w:p>
    <w:p w14:paraId="75A4800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6.增益类型：2.5、5、10、20、10/5、40、AGC（mm/mV）</w:t>
      </w:r>
    </w:p>
    <w:p w14:paraId="45037EF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7.输入阻抗：≥50MΩ</w:t>
      </w:r>
    </w:p>
    <w:p w14:paraId="743508A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8.输入回路电流：≤15 n A</w:t>
      </w:r>
    </w:p>
    <w:p w14:paraId="62D293B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9.患者漏电流：≤10 μ A</w:t>
      </w:r>
    </w:p>
    <w:p w14:paraId="6A0AC92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10.共模抑制比：≥126dB</w:t>
      </w:r>
    </w:p>
    <w:p w14:paraId="3FE3DAB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11.A/D转换：24位</w:t>
      </w:r>
    </w:p>
    <w:p w14:paraId="76F41FD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（2）心电波形测量和诊断</w:t>
      </w:r>
    </w:p>
    <w:p w14:paraId="17DDF0C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1.心率计算范围：30bpm -300bpm。</w:t>
      </w:r>
    </w:p>
    <w:p w14:paraId="2C03CB9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2.心率计算精度：±1bpm。</w:t>
      </w:r>
    </w:p>
    <w:p w14:paraId="7F64CBE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3.心电波形测量信息：P时限、PR间期、QRS时限、QT间期、QTC间期、RR间期、RV5振幅、SV1振幅、RV6振幅、SV2振幅、RV5+SV1振幅、P波电轴、QRS波群电轴、T波电轴。</w:t>
      </w:r>
    </w:p>
    <w:p w14:paraId="339F578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4.检测结果支持明尼苏达码。</w:t>
      </w:r>
    </w:p>
    <w:p w14:paraId="4F095FB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（3）记录仪</w:t>
      </w:r>
    </w:p>
    <w:p w14:paraId="49B11FE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1.记录方式：行式热敏打印。</w:t>
      </w:r>
    </w:p>
    <w:p w14:paraId="30EB48C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2.记录速度：5 mm/s、6.25 mm/s、10 mm/s、12.5 mm/s、25 mm/s、50 mm/s。</w:t>
      </w:r>
    </w:p>
    <w:p w14:paraId="11627FA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3.记录纸规格：Z型折叠纸，约210mm*140mm*20m。</w:t>
      </w:r>
    </w:p>
    <w:p w14:paraId="76291B2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4.记录类型：能够实现不少于12种的打印方法输出。（3×4、3×4+1R、3×4+3R、6×2、6×2+1R、12×1、12×1_V6，手动3道、手动6道、手动12道、单导节律、三导节律，R-R等）。</w:t>
      </w:r>
    </w:p>
    <w:p w14:paraId="1B192B6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（4）输入输出接口</w:t>
      </w:r>
    </w:p>
    <w:p w14:paraId="3219AD2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1.网络接口：RJ-45（1个）TCP/IP ；联网功能。</w:t>
      </w:r>
    </w:p>
    <w:p w14:paraId="5A0CF6C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USB接口：USB Host（1个）</w:t>
      </w:r>
      <w:bookmarkStart w:id="199" w:name="OLE_LINK780"/>
      <w:bookmarkStart w:id="200" w:name="OLE_LINK779"/>
      <w:r>
        <w:rPr>
          <w:rFonts w:hint="eastAsia" w:ascii="宋体" w:hAnsi="宋体" w:eastAsia="宋体" w:cs="宋体"/>
          <w:color w:val="auto"/>
          <w:kern w:val="2"/>
          <w:sz w:val="21"/>
          <w:szCs w:val="21"/>
          <w:highlight w:val="none"/>
          <w:lang w:val="en-US" w:eastAsia="zh-CN" w:bidi="ar-SA"/>
        </w:rPr>
        <w:t>可连接U盘，USB打印机及条码扫描器；USB Device</w:t>
      </w:r>
      <w:bookmarkEnd w:id="199"/>
      <w:bookmarkEnd w:id="200"/>
      <w:r>
        <w:rPr>
          <w:rFonts w:hint="eastAsia" w:ascii="宋体" w:hAnsi="宋体" w:eastAsia="宋体" w:cs="宋体"/>
          <w:color w:val="auto"/>
          <w:kern w:val="2"/>
          <w:sz w:val="21"/>
          <w:szCs w:val="21"/>
          <w:highlight w:val="none"/>
          <w:lang w:val="en-US" w:eastAsia="zh-CN" w:bidi="ar-SA"/>
        </w:rPr>
        <w:t>（1个），连接PC电脑。</w:t>
      </w:r>
    </w:p>
    <w:p w14:paraId="0719CFD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3.SD卡接口：标准SD卡，用于导出心电数据存储。</w:t>
      </w:r>
    </w:p>
    <w:p w14:paraId="06B8F4F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4.支持将心电图机报告转成PDF文件。</w:t>
      </w:r>
    </w:p>
    <w:p w14:paraId="08F5973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5.支持计算机键盘输入操作，可快捷实现中/英文病人信息输入。</w:t>
      </w:r>
    </w:p>
    <w:p w14:paraId="528903F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（5）工作模式</w:t>
      </w:r>
    </w:p>
    <w:p w14:paraId="716FBD9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1.手动模式、自动模式、节律模式、R-R模式、关闭模式。</w:t>
      </w:r>
    </w:p>
    <w:p w14:paraId="1096194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（6）存储规格</w:t>
      </w:r>
    </w:p>
    <w:p w14:paraId="47C6BDA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1.内置存储：至少800组ECG记录数据。</w:t>
      </w:r>
    </w:p>
    <w:p w14:paraId="1717B4A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2.外置存储：支持SD卡和U盘存储方式，可实现数据转移和导入、导出。</w:t>
      </w:r>
    </w:p>
    <w:p w14:paraId="3592416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（7）显示</w:t>
      </w:r>
    </w:p>
    <w:p w14:paraId="3564A0A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 显示器尺寸：≥8.0英寸液晶显示屏，全屏触摸屏设计。</w:t>
      </w:r>
    </w:p>
    <w:p w14:paraId="033DB60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2.显示分辨率：≥800×480。</w:t>
      </w:r>
    </w:p>
    <w:p w14:paraId="0DEF4B4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（8）电池</w:t>
      </w:r>
    </w:p>
    <w:p w14:paraId="6A3DFD4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 电池类型：内置锂离子可充电电池。</w:t>
      </w:r>
    </w:p>
    <w:p w14:paraId="0B687CE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2.电池容量：可连续使用至少5小时，能持续打印输出至少500份心电图 。</w:t>
      </w:r>
    </w:p>
    <w:p w14:paraId="7FD958E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（十八）血氧监测仪、快速血糖监测仪</w:t>
      </w:r>
    </w:p>
    <w:p w14:paraId="3FE903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1.显示屏≥640*360</w:t>
      </w:r>
    </w:p>
    <w:p w14:paraId="666463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2.产品重量约350克(含电池重量)</w:t>
      </w:r>
    </w:p>
    <w:p w14:paraId="0152FE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3.测量范围约 3.9-24.5mmol\L</w:t>
      </w:r>
    </w:p>
    <w:p w14:paraId="27BE0D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4.电池规格：锂聚合物电池≥(1600 mAh)</w:t>
      </w:r>
    </w:p>
    <w:p w14:paraId="146266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5.可采集血糖、血氧饱和度、心率、心电图、血压、体脂等。</w:t>
      </w:r>
    </w:p>
    <w:p w14:paraId="57A6C9E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（十九）体外反搏仪（三气囊式）</w:t>
      </w:r>
    </w:p>
    <w:p w14:paraId="53E3C2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1.压力部分</w:t>
      </w:r>
    </w:p>
    <w:p w14:paraId="11C00E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反搏装置实际工作压力与设定工作压力的误差：±1kPa。</w:t>
      </w:r>
    </w:p>
    <w:p w14:paraId="0569A2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2.脉搏部分</w:t>
      </w:r>
    </w:p>
    <w:p w14:paraId="27E60F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2.1脉搏血氧部分符合</w:t>
      </w:r>
      <w:r>
        <w:rPr>
          <w:rFonts w:hint="eastAsia" w:ascii="宋体" w:hAnsi="宋体" w:cs="宋体"/>
          <w:color w:val="auto"/>
          <w:kern w:val="2"/>
          <w:sz w:val="21"/>
          <w:szCs w:val="21"/>
          <w:highlight w:val="none"/>
          <w:lang w:val="en-US" w:eastAsia="zh-CN" w:bidi="ar-SA"/>
        </w:rPr>
        <w:t>国家</w:t>
      </w:r>
      <w:r>
        <w:rPr>
          <w:rFonts w:hint="eastAsia" w:ascii="宋体" w:hAnsi="宋体" w:eastAsia="宋体" w:cs="宋体"/>
          <w:color w:val="auto"/>
          <w:kern w:val="2"/>
          <w:sz w:val="21"/>
          <w:szCs w:val="21"/>
          <w:highlight w:val="none"/>
          <w:lang w:val="en-US" w:eastAsia="zh-CN" w:bidi="ar-SA"/>
        </w:rPr>
        <w:t>相关要求。</w:t>
      </w:r>
    </w:p>
    <w:p w14:paraId="3F124C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2.2血氧饱和度监测范围：75%～100%。</w:t>
      </w:r>
    </w:p>
    <w:p w14:paraId="719E2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2.3血氧饱和度波形增益调节范围：1～32。</w:t>
      </w:r>
    </w:p>
    <w:p w14:paraId="6B216D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2.4血氧饱和度监测模块通过检测。</w:t>
      </w:r>
    </w:p>
    <w:p w14:paraId="2E3B4A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3.心电部分</w:t>
      </w:r>
    </w:p>
    <w:p w14:paraId="58A9BC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3.1心率测量和显示范围：35bpm~165bpm,测量误差：±1bpm。</w:t>
      </w:r>
    </w:p>
    <w:p w14:paraId="5E449B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3.2心电波形增益调节范围：1</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32。</w:t>
      </w:r>
    </w:p>
    <w:p w14:paraId="731BE7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3.3反搏装置由患者电缆、所有的内部电路和输出显示等部分产生的噪声为≤14μV(p-v)RTI。</w:t>
      </w:r>
    </w:p>
    <w:p w14:paraId="671189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3.4心电模块通过检测。</w:t>
      </w:r>
    </w:p>
    <w:p w14:paraId="331D80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3.5反搏装置具有抑制人体表面工频信号模式干扰电压的能力。</w:t>
      </w:r>
    </w:p>
    <w:p w14:paraId="147073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4.软件部分</w:t>
      </w:r>
    </w:p>
    <w:p w14:paraId="347AEA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4.1显示内容：R-I、R-D，心率增益，心电波形、血氧、血氧增益、指脉波形、峰值比、面积比、治疗压力、设置压力、电磁阀充排气状态、空压机累计工作时长。</w:t>
      </w:r>
    </w:p>
    <w:p w14:paraId="375D96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4.2序贯模式手动可调。</w:t>
      </w:r>
    </w:p>
    <w:p w14:paraId="7BAD87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4.3具有演示模式功能，开在界面有“禁止用于治疗”明确的警示信息。</w:t>
      </w:r>
    </w:p>
    <w:p w14:paraId="6D2C34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4.4治疗时间设置范围：1min~60min;设置步进：1min。</w:t>
      </w:r>
    </w:p>
    <w:p w14:paraId="049C8F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4.5反搏装置配备《病员信息管理软件》,数据库存储治疗者心电、血氧、治疗压力等数据，可增加数据回放功能。</w:t>
      </w:r>
    </w:p>
    <w:p w14:paraId="704764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4.6水平扫描速度具有至少25mm/s、50mm/s二档，误差为±1%。</w:t>
      </w:r>
    </w:p>
    <w:p w14:paraId="29A494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4.7有心电电极脱落报警功能。</w:t>
      </w:r>
    </w:p>
    <w:p w14:paraId="484C4F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4.8有血氧饱和度超限提醒功能。</w:t>
      </w:r>
    </w:p>
    <w:p w14:paraId="27048F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4.9具有联网功能：通过WIFI接入局域网，实现联网通讯功能。</w:t>
      </w:r>
    </w:p>
    <w:p w14:paraId="3AB3FC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5.机械部分</w:t>
      </w:r>
    </w:p>
    <w:p w14:paraId="7EBA0A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5.1采用具有反搏装置专用充排气阀，响应时间≤39ms。</w:t>
      </w:r>
    </w:p>
    <w:p w14:paraId="095435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5.2采用具有体外反搏气路系统。</w:t>
      </w:r>
    </w:p>
    <w:p w14:paraId="0C8BE7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5.3采用具有体外反搏装置专用外囊套与气囊袋组合的囊套。</w:t>
      </w:r>
    </w:p>
    <w:p w14:paraId="6BE49B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5.4可根据需要增配上肢囊套。</w:t>
      </w:r>
    </w:p>
    <w:p w14:paraId="2D8BEC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5.5反搏装置反搏床的床面能承受重量：≥150kg。</w:t>
      </w:r>
    </w:p>
    <w:p w14:paraId="33925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6.安全部分</w:t>
      </w:r>
    </w:p>
    <w:p w14:paraId="3BDE8D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6.1反搏装置正常工作时，反搏装置对触发波以外的波形不响应反搏。</w:t>
      </w:r>
    </w:p>
    <w:p w14:paraId="277D0D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6.2反搏装置在心率低于40bpm或高于120bpm时可自动停止反搏。</w:t>
      </w:r>
    </w:p>
    <w:p w14:paraId="6CA6A7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6.3早搏能触发反搏装置排气。</w:t>
      </w:r>
    </w:p>
    <w:p w14:paraId="0BD4F4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6.4反搏装置正常工作时，当工作压力大时，有压力泄气功能。</w:t>
      </w:r>
    </w:p>
    <w:p w14:paraId="46B500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6.5采用医疗级≥15.6寸触控平板电脑。</w:t>
      </w:r>
    </w:p>
    <w:p w14:paraId="39039A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6.6采用医疗级隔离变压器，将电源与用电回路作电气上的全隔离。</w:t>
      </w:r>
    </w:p>
    <w:p w14:paraId="77851E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6.7采用谐波专用滤波器，有效控制谐波危害、降耗。</w:t>
      </w:r>
    </w:p>
    <w:p w14:paraId="391ABC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7.压缩机</w:t>
      </w:r>
    </w:p>
    <w:p w14:paraId="2CF38A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7.1压缩机最大功率≥2200 VA。</w:t>
      </w:r>
    </w:p>
    <w:p w14:paraId="56AE91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7.2压缩机最大流量≥48m³/h。</w:t>
      </w:r>
    </w:p>
    <w:p w14:paraId="0489B6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8.其他</w:t>
      </w:r>
    </w:p>
    <w:p w14:paraId="1ED4AB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8.1心电、血氧采集和系统控制采用集成控制板。</w:t>
      </w:r>
    </w:p>
    <w:p w14:paraId="116FAC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8.2使用期限：至少10年。</w:t>
      </w:r>
    </w:p>
    <w:p w14:paraId="7CBFAC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8.3</w:t>
      </w:r>
      <w:r>
        <w:rPr>
          <w:rFonts w:hint="eastAsia" w:ascii="宋体" w:hAnsi="宋体" w:eastAsia="宋体" w:cs="宋体"/>
          <w:color w:val="auto"/>
          <w:kern w:val="2"/>
          <w:sz w:val="21"/>
          <w:szCs w:val="21"/>
          <w:highlight w:val="none"/>
          <w:lang w:val="en-US" w:eastAsia="zh-CN" w:bidi="ar-SA"/>
        </w:rPr>
        <w:t>另配备工作站(处理器至少CPUi5；内存≧8g；固态硬盘≧500G；显示器≧24寸)及一台</w:t>
      </w:r>
      <w:r>
        <w:rPr>
          <w:rFonts w:hint="eastAsia"/>
          <w:color w:val="auto"/>
          <w:highlight w:val="none"/>
          <w:lang w:val="en-US" w:eastAsia="zh-CN"/>
        </w:rPr>
        <w:t>输出终端</w:t>
      </w:r>
      <w:r>
        <w:rPr>
          <w:rFonts w:hint="eastAsia" w:ascii="宋体" w:hAnsi="宋体" w:eastAsia="宋体" w:cs="宋体"/>
          <w:color w:val="auto"/>
          <w:kern w:val="2"/>
          <w:sz w:val="21"/>
          <w:szCs w:val="21"/>
          <w:highlight w:val="none"/>
          <w:lang w:val="en-US" w:eastAsia="zh-CN" w:bidi="ar-SA"/>
        </w:rPr>
        <w:t>用于患者档案管理。</w:t>
      </w:r>
    </w:p>
    <w:p w14:paraId="2FA712F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（二十）等离子空气消毒机（移动式）</w:t>
      </w:r>
    </w:p>
    <w:p w14:paraId="7CE1F4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1.消毒因子：等离子体。</w:t>
      </w:r>
    </w:p>
    <w:p w14:paraId="27D89B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2.特定适用空间体积≥120㎥。</w:t>
      </w:r>
    </w:p>
    <w:p w14:paraId="38C03F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3.安装方式：移动式，无需安装。</w:t>
      </w:r>
    </w:p>
    <w:p w14:paraId="0109C0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4.整机额定输入功率≤85W，工作电源环境：220V±22V  50Hz±1Hz 。</w:t>
      </w:r>
    </w:p>
    <w:p w14:paraId="6CE6DB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5.循环风量≥960m³/h。</w:t>
      </w:r>
    </w:p>
    <w:p w14:paraId="10E858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6.等离子体密度分布2.5X10</w:t>
      </w:r>
      <w:r>
        <w:rPr>
          <w:rFonts w:hint="default" w:ascii="宋体" w:hAnsi="宋体" w:eastAsia="宋体" w:cs="宋体"/>
          <w:color w:val="auto"/>
          <w:kern w:val="2"/>
          <w:sz w:val="21"/>
          <w:szCs w:val="21"/>
          <w:highlight w:val="none"/>
          <w:lang w:val="en-US" w:eastAsia="zh-CN" w:bidi="ar-SA"/>
        </w:rPr>
        <w:t>-18m-3</w:t>
      </w:r>
      <w:r>
        <w:rPr>
          <w:rFonts w:hint="eastAsia" w:ascii="宋体" w:hAnsi="宋体" w:eastAsia="宋体" w:cs="宋体"/>
          <w:color w:val="auto"/>
          <w:kern w:val="2"/>
          <w:sz w:val="21"/>
          <w:szCs w:val="21"/>
          <w:highlight w:val="none"/>
          <w:lang w:val="en-US" w:eastAsia="zh-CN" w:bidi="ar-SA"/>
        </w:rPr>
        <w:t xml:space="preserve">。  </w:t>
      </w:r>
    </w:p>
    <w:p w14:paraId="2D4F31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7.臭氧泄漏量≤0.003mg/m³。 </w:t>
      </w:r>
    </w:p>
    <w:p w14:paraId="7F1069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8.等离子体空气消毒机内部不得装有中、高效过滤器和紫外线杀菌灯。</w:t>
      </w:r>
    </w:p>
    <w:p w14:paraId="552766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9.操作方式具备手动、程控、远程多种控制方式。</w:t>
      </w:r>
    </w:p>
    <w:p w14:paraId="65C19B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10.设备对白色葡萄球菌（8032）进行60Min消毒作业后的杀灭率≥99.95%。</w:t>
      </w:r>
    </w:p>
    <w:p w14:paraId="39304A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11.设备对白色葡萄球菌（8032）进行60Min消毒作业后的菌数≤40（cfu/m3）。</w:t>
      </w:r>
    </w:p>
    <w:p w14:paraId="4F1BF0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12.设备对肺炎克雷伯氏菌进行60min消毒作业后去除率≥99.99%。</w:t>
      </w:r>
    </w:p>
    <w:p w14:paraId="74549D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13.设备对冠状病毒进行60min消毒作业后去除率≥99.99%。</w:t>
      </w:r>
    </w:p>
    <w:p w14:paraId="630F7D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14.运行时可显示工作模式、消毒剩余时间、风速、湿度、温度等信息。</w:t>
      </w:r>
    </w:p>
    <w:p w14:paraId="292FF2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15.360度进风，360度出风，无消毒死角。</w:t>
      </w:r>
    </w:p>
    <w:p w14:paraId="707BDD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16.</w:t>
      </w:r>
      <w:r>
        <w:rPr>
          <w:rFonts w:hint="eastAsia" w:ascii="宋体" w:hAnsi="宋体" w:eastAsia="宋体" w:cs="宋体"/>
          <w:color w:val="auto"/>
          <w:kern w:val="2"/>
          <w:sz w:val="21"/>
          <w:szCs w:val="21"/>
          <w:highlight w:val="none"/>
          <w:lang w:val="en-US" w:eastAsia="zh-CN" w:bidi="ar-SA"/>
        </w:rPr>
        <w:t>具有滤网过期、风机故障、等离子故障提示。</w:t>
      </w:r>
    </w:p>
    <w:p w14:paraId="3688A74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（二十一）呼吸神经肌肉刺激仪</w:t>
      </w:r>
    </w:p>
    <w:p w14:paraId="19FC4C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1、能同时对膈神经和腹肌进行闭环式电刺激训练，使膈肌和腹肌系统进行规律性收缩； </w:t>
      </w:r>
    </w:p>
    <w:p w14:paraId="33FD98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2、膈肌和腹肌独立通道，可根据需要选择不同通道的电刺激，满足治疗的需要； </w:t>
      </w:r>
    </w:p>
    <w:p w14:paraId="3F932E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3、能记录患者每次治疗参数，并可查询调取历史记录； </w:t>
      </w:r>
    </w:p>
    <w:p w14:paraId="32B535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4、能根据患者的吸气和呼气节奏，个性化设置呼吸参数； </w:t>
      </w:r>
    </w:p>
    <w:p w14:paraId="7F57AD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4.1 吸气时间调节范围：(0.7-5)s，增量 0.1s，可调； </w:t>
      </w:r>
    </w:p>
    <w:p w14:paraId="370B4E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4.2 呼吸频率调节范围：(5-40)次/min，增量1次/min，可调； </w:t>
      </w:r>
    </w:p>
    <w:p w14:paraId="0CAFD5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 治疗时间调节范围：(1-30)min,增量 1min，可调； </w:t>
      </w:r>
    </w:p>
    <w:p w14:paraId="566E4C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6 脉冲重复频率调节范围：(20-100)Hz，增量 5Hz，可调； </w:t>
      </w:r>
    </w:p>
    <w:p w14:paraId="05AD39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7 膈肌通道刺激电流幅度：调节范围：(0.5-30)mA，1mA 以下时，增量 0.5mA；1mA 以上时，增量 1mA,可调； </w:t>
      </w:r>
    </w:p>
    <w:p w14:paraId="7F5F79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8 腹肌通道刺激电流幅度：调节范围：(0.5-30)mA，1mA 以下时，增量 0.5mA；1mA 以上时，增量 1mA,可调； </w:t>
      </w:r>
    </w:p>
    <w:p w14:paraId="57B49A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9 呼吸实时同步：设置呼吸参数后，通过灯光及语音引导患者呼吸康复； </w:t>
      </w:r>
    </w:p>
    <w:p w14:paraId="1C51A6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10 膈肌刺激通道≥ 1，腹肌刺激通道≥ 1。 </w:t>
      </w:r>
    </w:p>
    <w:p w14:paraId="105144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 电池工作续航时间≥ 2 小时。</w:t>
      </w:r>
    </w:p>
    <w:p w14:paraId="4278B6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12、设备原代码及维修密码无条件开放；</w:t>
      </w:r>
    </w:p>
    <w:p w14:paraId="1E2599F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（二十二）动态血压</w:t>
      </w:r>
    </w:p>
    <w:p w14:paraId="720BDA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、测量方法：示波法；</w:t>
      </w:r>
    </w:p>
    <w:p w14:paraId="4D72F2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2、放气方式：阶梯放气；</w:t>
      </w:r>
    </w:p>
    <w:p w14:paraId="37E4C9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3、测量精度: 压力±3mmHg、心率±2bpm或±2%bpm，取大者</w:t>
      </w:r>
    </w:p>
    <w:p w14:paraId="34A0E3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4、测量范围：收缩压：40-2</w:t>
      </w:r>
      <w:r>
        <w:rPr>
          <w:rFonts w:hint="default" w:ascii="宋体" w:hAnsi="宋体" w:eastAsia="宋体" w:cs="宋体"/>
          <w:color w:val="auto"/>
          <w:kern w:val="2"/>
          <w:sz w:val="21"/>
          <w:szCs w:val="21"/>
          <w:highlight w:val="none"/>
          <w:lang w:val="en-US" w:eastAsia="zh-CN" w:bidi="ar-SA"/>
        </w:rPr>
        <w:t>55</w:t>
      </w:r>
      <w:r>
        <w:rPr>
          <w:rFonts w:hint="eastAsia" w:ascii="宋体" w:hAnsi="宋体" w:eastAsia="宋体" w:cs="宋体"/>
          <w:color w:val="auto"/>
          <w:kern w:val="2"/>
          <w:sz w:val="21"/>
          <w:szCs w:val="21"/>
          <w:highlight w:val="none"/>
          <w:lang w:val="en-US" w:eastAsia="zh-CN" w:bidi="ar-SA"/>
        </w:rPr>
        <w:t>mmHg；舒张压：10-1</w:t>
      </w:r>
      <w:r>
        <w:rPr>
          <w:rFonts w:hint="default"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95mmHg；</w:t>
      </w:r>
    </w:p>
    <w:p w14:paraId="35E15D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心 率：40-240bpm；</w:t>
      </w:r>
    </w:p>
    <w:p w14:paraId="0A00ED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5、过压保护：不超过300mmHg；</w:t>
      </w:r>
    </w:p>
    <w:p w14:paraId="24406B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6、测量间隔：可定制15、20、30、40、45、60、90、120分钟等多种时间间隔；</w:t>
      </w:r>
    </w:p>
    <w:p w14:paraId="6CC074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7、数据传输：支持GPRS无线传输 或 USB接口两种传输方式任选其一，其中GPRS无线传输含三年数据流量费；</w:t>
      </w:r>
    </w:p>
    <w:p w14:paraId="7410BD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8、数据存储器：不少于999组数据</w:t>
      </w:r>
    </w:p>
    <w:p w14:paraId="649544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9、工作环境：</w:t>
      </w:r>
    </w:p>
    <w:p w14:paraId="08E422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使用温湿度：0～40℃/10%～95%（无凝结）</w:t>
      </w:r>
    </w:p>
    <w:p w14:paraId="360D1C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储存温湿度：-20℃-60℃/≤95%（无凝结）</w:t>
      </w:r>
    </w:p>
    <w:p w14:paraId="12CFB3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10、采用锂电池供电，电池容量≥1200mAh，充电</w:t>
      </w:r>
    </w:p>
    <w:p w14:paraId="2D5BCE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11、无气管一体式设计</w:t>
      </w:r>
    </w:p>
    <w:p w14:paraId="3BDB9A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12、袖带可拆卸，并可取出气囊再清洗，便于使用清洁。</w:t>
      </w:r>
    </w:p>
    <w:p w14:paraId="6F1876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13、测量失败,能够自动补测。</w:t>
      </w:r>
    </w:p>
    <w:p w14:paraId="1A1925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14、噪音：不超过45dB。</w:t>
      </w:r>
    </w:p>
    <w:p w14:paraId="7B122F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15、声音设置：语音播报，有独立声音开关，可自行开关声音；</w:t>
      </w:r>
    </w:p>
    <w:p w14:paraId="1063A2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16、分析软件：支持云端SaaS模式，可提供数据表图、血压趋势图、血压数据统计图表。</w:t>
      </w:r>
    </w:p>
    <w:p w14:paraId="39B501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17、能够统计全天血压数据、日间血压数据、夜间血压数据分析，血压负荷、血压下降率、清晨血压数值、血压异常提示，显示在动态血压报告上。</w:t>
      </w:r>
    </w:p>
    <w:p w14:paraId="15997C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18、联网软件系统能够自动得出动态血压报告诊断参考结果。</w:t>
      </w:r>
    </w:p>
    <w:p w14:paraId="6BDFA0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19、可生成Word格式动态血压报告。</w:t>
      </w:r>
    </w:p>
    <w:p w14:paraId="76E350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20、诊断报告页眉自动带有医院名称。</w:t>
      </w:r>
    </w:p>
    <w:p w14:paraId="5216F1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21</w:t>
      </w:r>
      <w:r>
        <w:rPr>
          <w:rFonts w:hint="eastAsia" w:ascii="宋体" w:hAnsi="宋体" w:eastAsia="宋体" w:cs="宋体"/>
          <w:color w:val="auto"/>
          <w:kern w:val="2"/>
          <w:sz w:val="21"/>
          <w:szCs w:val="21"/>
          <w:highlight w:val="none"/>
          <w:lang w:val="en-US" w:eastAsia="zh-CN" w:bidi="ar-SA"/>
        </w:rPr>
        <w:t>、显示电量。</w:t>
      </w:r>
    </w:p>
    <w:p w14:paraId="07D4E99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（二十三）急救车</w:t>
      </w:r>
      <w:r>
        <w:rPr>
          <w:rFonts w:hint="default" w:ascii="宋体" w:hAnsi="宋体" w:eastAsia="宋体" w:cs="宋体"/>
          <w:b/>
          <w:bCs/>
          <w:color w:val="auto"/>
          <w:kern w:val="2"/>
          <w:sz w:val="21"/>
          <w:szCs w:val="21"/>
          <w:highlight w:val="none"/>
          <w:lang w:val="en-US" w:eastAsia="zh-CN" w:bidi="ar-SA"/>
        </w:rPr>
        <w:t xml:space="preserve"> </w:t>
      </w:r>
    </w:p>
    <w:p w14:paraId="622DCB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1、车体材质采用全新优质ABS颗粒；</w:t>
      </w:r>
    </w:p>
    <w:p w14:paraId="1F25B2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2、车体结构为：台面，底板，立柱，侧板等组装成型；</w:t>
      </w:r>
    </w:p>
    <w:p w14:paraId="27B7D8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3、台面采用全新理念一体化成型设计台面配置不锈钢三面围栏，ABS除颤平台和伸缩输液架，除颤平台可摆放除颤仪或监护仪等医疗设备等输液架可在抢救输液使用，美观易清洁；</w:t>
      </w:r>
    </w:p>
    <w:p w14:paraId="61BB4E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4、立柱采用四根塑钢材质 提高车体称重性和美观耐用；</w:t>
      </w:r>
    </w:p>
    <w:p w14:paraId="3B3254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5、抽屉采用五层设计，2个小抽屉2个中抽屉 1个大抽屉，抽屉面板相同颜色，便于不同急救药品分类摆放，抽屉颜色可根据需求定制不同颜色等，抽屉内部标配置3*3分类药格插片，可根据药盒大小自由组合，抽屉配置联动中控锁，可锁止五层抽屉 ，保证抽屉内药品安全防丢失；</w:t>
      </w:r>
    </w:p>
    <w:p w14:paraId="6D0B0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6、车体底板采用加厚承重底板，内有加强筋设计 增加了车体稳定性和承重性和药品安全性；</w:t>
      </w:r>
    </w:p>
    <w:p w14:paraId="441EC2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7、左侧面配置隐藏式副工作台，使用时可拉出，便于医护人员书写记录或摆放轻型针剂用品等使用 ，使用后可推进车体，便于推动，节省空间；</w:t>
      </w:r>
    </w:p>
    <w:p w14:paraId="66D714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8、左侧配置资料盒，便有医护人员书写抢救病例和药品使用记录摆放；</w:t>
      </w:r>
    </w:p>
    <w:p w14:paraId="11B42B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9、右侧配置一个利器盒挂框，2个黄色一次性利器收纳盒便于收纳抢救时用的针头利器等收纳使用；</w:t>
      </w:r>
    </w:p>
    <w:p w14:paraId="2E0506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10、右侧两个分类垃圾桶，颜色分为黄色和蓝色，便于医护人员在抢救时产生的医疗垃圾分类处理和收纳等；</w:t>
      </w:r>
    </w:p>
    <w:p w14:paraId="1D5F6C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11、车体背面标配：</w:t>
      </w:r>
      <w:r>
        <w:rPr>
          <w:rFonts w:hint="eastAsia" w:ascii="宋体" w:hAnsi="宋体" w:cs="宋体"/>
          <w:color w:val="auto"/>
          <w:kern w:val="2"/>
          <w:sz w:val="21"/>
          <w:szCs w:val="21"/>
          <w:highlight w:val="none"/>
          <w:lang w:val="en-US" w:eastAsia="zh-CN" w:bidi="ar-SA"/>
        </w:rPr>
        <w:t>至少</w:t>
      </w:r>
      <w:r>
        <w:rPr>
          <w:rFonts w:hint="eastAsia" w:ascii="宋体" w:hAnsi="宋体" w:eastAsia="宋体" w:cs="宋体"/>
          <w:color w:val="auto"/>
          <w:kern w:val="2"/>
          <w:sz w:val="21"/>
          <w:szCs w:val="21"/>
          <w:highlight w:val="none"/>
          <w:lang w:val="en-US" w:eastAsia="zh-CN" w:bidi="ar-SA"/>
        </w:rPr>
        <w:t>2米电源插座可为除颤仪或监护仪供电使用；</w:t>
      </w:r>
    </w:p>
    <w:p w14:paraId="4758E8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12、车体背面标配：心肺复苏板，除颤时使用； </w:t>
      </w:r>
    </w:p>
    <w:p w14:paraId="2286BB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13、车体背面标配：隐藏式氧气瓶托架 可放置</w:t>
      </w:r>
      <w:r>
        <w:rPr>
          <w:rFonts w:hint="eastAsia" w:ascii="宋体" w:hAnsi="宋体" w:cs="宋体"/>
          <w:color w:val="auto"/>
          <w:kern w:val="2"/>
          <w:sz w:val="21"/>
          <w:szCs w:val="21"/>
          <w:highlight w:val="none"/>
          <w:lang w:val="en-US" w:eastAsia="zh-CN" w:bidi="ar-SA"/>
        </w:rPr>
        <w:t>至少</w:t>
      </w:r>
      <w:r>
        <w:rPr>
          <w:rFonts w:hint="eastAsia" w:ascii="宋体" w:hAnsi="宋体" w:eastAsia="宋体" w:cs="宋体"/>
          <w:color w:val="auto"/>
          <w:kern w:val="2"/>
          <w:sz w:val="21"/>
          <w:szCs w:val="21"/>
          <w:highlight w:val="none"/>
          <w:lang w:val="en-US" w:eastAsia="zh-CN" w:bidi="ar-SA"/>
        </w:rPr>
        <w:t>4L氧气瓶；</w:t>
      </w:r>
    </w:p>
    <w:p w14:paraId="1CE850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14</w:t>
      </w:r>
      <w:r>
        <w:rPr>
          <w:rFonts w:hint="eastAsia" w:ascii="宋体" w:hAnsi="宋体" w:eastAsia="宋体" w:cs="宋体"/>
          <w:color w:val="auto"/>
          <w:kern w:val="2"/>
          <w:sz w:val="21"/>
          <w:szCs w:val="21"/>
          <w:highlight w:val="none"/>
          <w:lang w:val="en-US" w:eastAsia="zh-CN" w:bidi="ar-SA"/>
        </w:rPr>
        <w:t>、配置清单</w:t>
      </w:r>
    </w:p>
    <w:p w14:paraId="466CC9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14.1、急救车体1辆；</w:t>
      </w:r>
    </w:p>
    <w:p w14:paraId="34B151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14.2、抽屉5个；</w:t>
      </w:r>
    </w:p>
    <w:p w14:paraId="5C2BDA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14.3、药格片30片；</w:t>
      </w:r>
    </w:p>
    <w:p w14:paraId="7D3793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14.4、侧挂框1个；</w:t>
      </w:r>
    </w:p>
    <w:p w14:paraId="685BD4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14.5、利器盒1L</w:t>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 xml:space="preserve"> 2个；</w:t>
      </w:r>
    </w:p>
    <w:p w14:paraId="43A81E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14.6、垃圾桶2个；</w:t>
      </w:r>
    </w:p>
    <w:p w14:paraId="25BF62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14.7、轮子4个；</w:t>
      </w:r>
    </w:p>
    <w:p w14:paraId="1FAA4E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14.8、电源插座</w:t>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1个；</w:t>
      </w:r>
    </w:p>
    <w:p w14:paraId="46EAE3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14.9、心肺复苏板1个；</w:t>
      </w:r>
    </w:p>
    <w:p w14:paraId="6B71E6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14.10、输液架1根；</w:t>
      </w:r>
    </w:p>
    <w:p w14:paraId="569796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14.11、除颤平台1个；</w:t>
      </w:r>
    </w:p>
    <w:p w14:paraId="4A03AE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bCs/>
          <w:color w:val="auto"/>
          <w:highlight w:val="none"/>
          <w:lang w:val="en-US" w:eastAsia="zh-CN"/>
        </w:rPr>
      </w:pPr>
      <w:r>
        <w:rPr>
          <w:rFonts w:hint="eastAsia" w:ascii="宋体" w:hAnsi="宋体" w:eastAsia="宋体" w:cs="宋体"/>
          <w:color w:val="auto"/>
          <w:kern w:val="2"/>
          <w:sz w:val="21"/>
          <w:szCs w:val="21"/>
          <w:highlight w:val="none"/>
          <w:lang w:val="en-US" w:eastAsia="zh-CN" w:bidi="ar-SA"/>
        </w:rPr>
        <w:t>14.12、钥匙 2个</w:t>
      </w:r>
    </w:p>
    <w:p w14:paraId="2A28C7FA">
      <w:pPr>
        <w:pStyle w:val="19"/>
        <w:outlineLvl w:val="1"/>
        <w:rPr>
          <w:rFonts w:hint="eastAsia"/>
          <w:b/>
          <w:color w:val="auto"/>
          <w:highlight w:val="none"/>
        </w:rPr>
      </w:pPr>
      <w:r>
        <w:rPr>
          <w:rFonts w:hint="eastAsia"/>
          <w:b/>
          <w:color w:val="auto"/>
          <w:highlight w:val="none"/>
        </w:rPr>
        <w:t>三、商务要求</w:t>
      </w:r>
    </w:p>
    <w:p w14:paraId="5B980084">
      <w:pPr>
        <w:widowControl/>
        <w:spacing w:line="360" w:lineRule="auto"/>
        <w:jc w:val="left"/>
        <w:rPr>
          <w:rFonts w:hint="eastAsia" w:ascii="宋体" w:hAnsi="宋体"/>
          <w:b/>
          <w:bCs/>
          <w:color w:val="auto"/>
          <w:szCs w:val="21"/>
          <w:highlight w:val="none"/>
        </w:rPr>
      </w:pPr>
      <w:r>
        <w:rPr>
          <w:rFonts w:ascii="宋体" w:hAnsi="宋体"/>
          <w:b/>
          <w:bCs/>
          <w:color w:val="auto"/>
          <w:szCs w:val="21"/>
          <w:highlight w:val="none"/>
        </w:rPr>
        <w:t>3.1</w:t>
      </w:r>
      <w:r>
        <w:rPr>
          <w:rFonts w:hint="eastAsia" w:ascii="宋体" w:hAnsi="宋体"/>
          <w:b/>
          <w:bCs/>
          <w:color w:val="auto"/>
          <w:szCs w:val="21"/>
          <w:highlight w:val="none"/>
        </w:rPr>
        <w:t>设备信息系统需连接医院信息系统，实现端口连接和数据传输，由中标方承担。</w:t>
      </w:r>
    </w:p>
    <w:p w14:paraId="798C94B0">
      <w:pPr>
        <w:widowControl/>
        <w:spacing w:line="360" w:lineRule="auto"/>
        <w:jc w:val="left"/>
        <w:rPr>
          <w:rFonts w:hint="eastAsia" w:ascii="宋体" w:hAnsi="宋体"/>
          <w:b/>
          <w:bCs/>
          <w:color w:val="auto"/>
          <w:szCs w:val="21"/>
          <w:highlight w:val="none"/>
        </w:rPr>
      </w:pPr>
      <w:bookmarkStart w:id="201" w:name="_Toc25822"/>
      <w:r>
        <w:rPr>
          <w:rFonts w:hint="eastAsia" w:ascii="宋体" w:hAnsi="宋体"/>
          <w:b/>
          <w:bCs/>
          <w:color w:val="auto"/>
          <w:szCs w:val="21"/>
          <w:highlight w:val="none"/>
        </w:rPr>
        <w:t>3.</w:t>
      </w:r>
      <w:r>
        <w:rPr>
          <w:rFonts w:ascii="宋体" w:hAnsi="宋体"/>
          <w:b/>
          <w:bCs/>
          <w:color w:val="auto"/>
          <w:szCs w:val="21"/>
          <w:highlight w:val="none"/>
        </w:rPr>
        <w:t>2</w:t>
      </w:r>
      <w:r>
        <w:rPr>
          <w:rFonts w:hint="eastAsia" w:ascii="宋体" w:hAnsi="宋体"/>
          <w:b/>
          <w:bCs/>
          <w:color w:val="auto"/>
          <w:szCs w:val="21"/>
          <w:highlight w:val="none"/>
        </w:rPr>
        <w:t>质保期（整机）：</w:t>
      </w:r>
    </w:p>
    <w:p w14:paraId="21312019">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所有设备</w:t>
      </w:r>
      <w:r>
        <w:rPr>
          <w:rFonts w:hint="eastAsia" w:ascii="宋体" w:hAnsi="宋体"/>
          <w:bCs/>
          <w:color w:val="auto"/>
          <w:szCs w:val="21"/>
          <w:highlight w:val="none"/>
        </w:rPr>
        <w:t>整机质保不少于</w:t>
      </w:r>
      <w:r>
        <w:rPr>
          <w:rFonts w:hint="eastAsia" w:ascii="宋体" w:hAnsi="宋体"/>
          <w:bCs/>
          <w:color w:val="auto"/>
          <w:szCs w:val="21"/>
          <w:highlight w:val="none"/>
          <w:lang w:val="en-US" w:eastAsia="zh-CN"/>
        </w:rPr>
        <w:t>2</w:t>
      </w:r>
      <w:r>
        <w:rPr>
          <w:rFonts w:hint="eastAsia" w:ascii="宋体" w:hAnsi="宋体"/>
          <w:bCs/>
          <w:color w:val="auto"/>
          <w:szCs w:val="21"/>
          <w:highlight w:val="none"/>
        </w:rPr>
        <w:t>年，质保期内对所有硬件进行维护及升级，软件功能终身开放、维护及免费升级，费用包含在本次报价中。</w:t>
      </w:r>
    </w:p>
    <w:p w14:paraId="74A911CE">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2）第三方软件终身维护及免费升级，费用包含在本次报价中。</w:t>
      </w:r>
    </w:p>
    <w:p w14:paraId="151D0AEB">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3）保修期自设备安装完毕，双方签署统一格式的验收报告后开始计算。保修期间要确保系统的正常运行，保证全年开机率(按365天/年计算)不低于95%，如达不到此标准，需按1:3（停机一天延长三天）天数延长，延长期中出现停机按同样比例要求延长保修期。</w:t>
      </w:r>
    </w:p>
    <w:p w14:paraId="16388F3F">
      <w:pPr>
        <w:widowControl/>
        <w:spacing w:line="360" w:lineRule="auto"/>
        <w:jc w:val="left"/>
        <w:rPr>
          <w:rFonts w:hint="eastAsia" w:ascii="宋体" w:hAnsi="宋体"/>
          <w:b/>
          <w:bCs/>
          <w:color w:val="auto"/>
          <w:szCs w:val="21"/>
          <w:highlight w:val="none"/>
        </w:rPr>
      </w:pPr>
      <w:r>
        <w:rPr>
          <w:rFonts w:ascii="宋体" w:hAnsi="宋体"/>
          <w:b/>
          <w:bCs/>
          <w:color w:val="auto"/>
          <w:szCs w:val="21"/>
          <w:highlight w:val="none"/>
        </w:rPr>
        <w:t>3.3</w:t>
      </w:r>
      <w:r>
        <w:rPr>
          <w:rFonts w:hint="eastAsia" w:ascii="宋体" w:hAnsi="宋体"/>
          <w:b/>
          <w:bCs/>
          <w:color w:val="auto"/>
          <w:szCs w:val="21"/>
          <w:highlight w:val="none"/>
        </w:rPr>
        <w:t>售后要求：</w:t>
      </w:r>
    </w:p>
    <w:p w14:paraId="12DC2E5E">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1）质保期原厂工程师及原厂配件维修；</w:t>
      </w:r>
    </w:p>
    <w:p w14:paraId="23EB94C2">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）2小时响应，工程师12小时内到场，24小时提供备用设备。</w:t>
      </w:r>
    </w:p>
    <w:p w14:paraId="38E586AB">
      <w:pPr>
        <w:widowControl/>
        <w:spacing w:line="360" w:lineRule="auto"/>
        <w:jc w:val="left"/>
        <w:rPr>
          <w:rFonts w:hint="eastAsia" w:ascii="宋体" w:hAnsi="宋体"/>
          <w:bCs/>
          <w:color w:val="auto"/>
          <w:szCs w:val="21"/>
          <w:highlight w:val="none"/>
        </w:rPr>
      </w:pPr>
      <w:r>
        <w:rPr>
          <w:rFonts w:ascii="宋体" w:hAnsi="宋体"/>
          <w:b/>
          <w:bCs/>
          <w:color w:val="auto"/>
          <w:szCs w:val="21"/>
          <w:highlight w:val="none"/>
        </w:rPr>
        <w:t>3.4</w:t>
      </w:r>
      <w:r>
        <w:rPr>
          <w:rFonts w:hint="eastAsia" w:ascii="宋体" w:hAnsi="宋体"/>
          <w:b/>
          <w:bCs/>
          <w:color w:val="auto"/>
          <w:szCs w:val="21"/>
          <w:highlight w:val="none"/>
        </w:rPr>
        <w:t>定期巡检：</w:t>
      </w:r>
      <w:r>
        <w:rPr>
          <w:rFonts w:hint="eastAsia" w:ascii="宋体" w:hAnsi="宋体"/>
          <w:bCs/>
          <w:color w:val="auto"/>
          <w:szCs w:val="21"/>
          <w:highlight w:val="none"/>
        </w:rPr>
        <w:t>投标人需提供巡检服务并做好详细记录，年度定期预防性维护保养次数不少于</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次，并向采购人提供巡检及维护保养报告。 </w:t>
      </w:r>
    </w:p>
    <w:p w14:paraId="7E756710">
      <w:pPr>
        <w:widowControl/>
        <w:spacing w:line="360" w:lineRule="auto"/>
        <w:jc w:val="left"/>
        <w:rPr>
          <w:rFonts w:hint="eastAsia" w:ascii="宋体" w:hAnsi="宋体"/>
          <w:bCs/>
          <w:color w:val="auto"/>
          <w:szCs w:val="21"/>
          <w:highlight w:val="none"/>
        </w:rPr>
      </w:pPr>
      <w:r>
        <w:rPr>
          <w:rFonts w:hint="eastAsia" w:ascii="宋体" w:hAnsi="宋体"/>
          <w:b/>
          <w:bCs/>
          <w:color w:val="auto"/>
          <w:szCs w:val="21"/>
          <w:highlight w:val="none"/>
        </w:rPr>
        <w:t>3.</w:t>
      </w:r>
      <w:r>
        <w:rPr>
          <w:rFonts w:ascii="宋体" w:hAnsi="宋体"/>
          <w:b/>
          <w:bCs/>
          <w:color w:val="auto"/>
          <w:szCs w:val="21"/>
          <w:highlight w:val="none"/>
        </w:rPr>
        <w:t>5</w:t>
      </w:r>
      <w:r>
        <w:rPr>
          <w:rFonts w:hint="eastAsia" w:ascii="宋体" w:hAnsi="宋体"/>
          <w:b/>
          <w:bCs/>
          <w:color w:val="auto"/>
          <w:szCs w:val="21"/>
          <w:highlight w:val="none"/>
        </w:rPr>
        <w:t>培训要求</w:t>
      </w:r>
      <w:r>
        <w:rPr>
          <w:rFonts w:hint="eastAsia" w:ascii="宋体" w:hAnsi="宋体"/>
          <w:bCs/>
          <w:color w:val="auto"/>
          <w:szCs w:val="21"/>
          <w:highlight w:val="none"/>
        </w:rPr>
        <w:t>：</w:t>
      </w:r>
    </w:p>
    <w:p w14:paraId="586C12E7">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1）</w:t>
      </w:r>
      <w:r>
        <w:rPr>
          <w:rFonts w:hint="eastAsia" w:ascii="宋体" w:hAnsi="宋体"/>
          <w:bCs/>
          <w:color w:val="auto"/>
          <w:szCs w:val="21"/>
          <w:highlight w:val="none"/>
        </w:rPr>
        <w:t>在设备交货时，投标人派专业技术人员对操作人员进行为期3-5天现场安装及技术培训。投标人须负责对采购人的技术人员、操作人员、维修人员进行产品及系统的操作、系统的管理维护、常用技术知识进行技术培训，使培训的操作人员按操作规程能够独立操作,培训人数按照用户需求而定。提供设备的正常使用和安全运行培训，以及必要的技术支持。</w:t>
      </w:r>
    </w:p>
    <w:p w14:paraId="451E1E61">
      <w:pPr>
        <w:widowControl/>
        <w:spacing w:line="360" w:lineRule="auto"/>
        <w:jc w:val="left"/>
        <w:rPr>
          <w:rFonts w:hint="eastAsia" w:ascii="宋体" w:hAnsi="宋体"/>
          <w:b/>
          <w:bCs/>
          <w:color w:val="auto"/>
          <w:szCs w:val="21"/>
          <w:highlight w:val="none"/>
        </w:rPr>
      </w:pPr>
      <w:r>
        <w:rPr>
          <w:rFonts w:hint="eastAsia" w:ascii="宋体" w:hAnsi="宋体"/>
          <w:b/>
          <w:bCs/>
          <w:color w:val="auto"/>
          <w:szCs w:val="21"/>
          <w:highlight w:val="none"/>
        </w:rPr>
        <w:t>3.</w:t>
      </w:r>
      <w:r>
        <w:rPr>
          <w:rFonts w:ascii="宋体" w:hAnsi="宋体"/>
          <w:b/>
          <w:bCs/>
          <w:color w:val="auto"/>
          <w:szCs w:val="21"/>
          <w:highlight w:val="none"/>
        </w:rPr>
        <w:t>6</w:t>
      </w:r>
      <w:r>
        <w:rPr>
          <w:rFonts w:hint="eastAsia" w:ascii="宋体" w:hAnsi="宋体"/>
          <w:b/>
          <w:bCs/>
          <w:color w:val="auto"/>
          <w:szCs w:val="21"/>
          <w:highlight w:val="none"/>
        </w:rPr>
        <w:t>验收要求：</w:t>
      </w:r>
    </w:p>
    <w:p w14:paraId="2F804FBF">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设备验收：设备到达采购人指定地点后，双方根据合同及其附件进行开箱、清点所有货品。符合后由中标人负责进行设备的安装和调试，安装调试完毕后，由采购人测试是否合格并满足技术要求。若开箱、清点发现货品不相符的，中标人必须无条件进行更换。更换所产生的费用由中标人负责，若因此导致交货逾期，由中标人承担逾期交货的违约责任。采购人有权在验收过程中或使用过程中对设备质量存疑时，自行委托第三方检测机构进行质量鉴定，检测费用由结果过错方承担。</w:t>
      </w:r>
    </w:p>
    <w:p w14:paraId="68802A6D">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根据货物的实际情况，将对设备进行安装调试后验收，验收结果经双方确认后，双方代表必须按规定对照本合同项目填写验收交接单，经采购人项目负责人签字确认验收结果，验收合格后方视为完成交货。</w:t>
      </w:r>
    </w:p>
    <w:p w14:paraId="17E881D9">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3）若采购人提出需要第三方参与验收，则由此产生的费用由中标人承担。</w:t>
      </w:r>
    </w:p>
    <w:p w14:paraId="4DCA2B09">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4）中标人所提供货物质量安全、技术规格、物理特性等属性符合国家及地方现行标准及规范，并满足采购需求；安装质量符合国家及地方现行标准及规范，中标人对所提供的货物及安装质量在规定期限内负质量责任。</w:t>
      </w:r>
    </w:p>
    <w:p w14:paraId="5FE1E3DD">
      <w:pPr>
        <w:widowControl/>
        <w:spacing w:line="360" w:lineRule="auto"/>
        <w:jc w:val="left"/>
        <w:rPr>
          <w:rFonts w:hint="eastAsia" w:ascii="宋体" w:hAnsi="宋体"/>
          <w:bCs/>
          <w:color w:val="auto"/>
          <w:szCs w:val="21"/>
          <w:highlight w:val="none"/>
        </w:rPr>
      </w:pPr>
      <w:r>
        <w:rPr>
          <w:rFonts w:hint="eastAsia" w:ascii="宋体" w:hAnsi="宋体"/>
          <w:b/>
          <w:bCs w:val="0"/>
          <w:color w:val="auto"/>
          <w:szCs w:val="21"/>
          <w:highlight w:val="none"/>
        </w:rPr>
        <w:t>3.</w:t>
      </w:r>
      <w:r>
        <w:rPr>
          <w:rFonts w:ascii="宋体" w:hAnsi="宋体"/>
          <w:b/>
          <w:bCs w:val="0"/>
          <w:color w:val="auto"/>
          <w:szCs w:val="21"/>
          <w:highlight w:val="none"/>
        </w:rPr>
        <w:t>7</w:t>
      </w:r>
      <w:r>
        <w:rPr>
          <w:rFonts w:hint="eastAsia" w:ascii="宋体" w:hAnsi="宋体"/>
          <w:b/>
          <w:bCs w:val="0"/>
          <w:color w:val="auto"/>
          <w:szCs w:val="21"/>
          <w:highlight w:val="none"/>
        </w:rPr>
        <w:t>其他要求：</w:t>
      </w:r>
    </w:p>
    <w:p w14:paraId="74F1D1FD">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1）应提供器械设备的技术文件，包括相应的图纸、维护手册、软件备份、故障代码表、备件清单、零部件等维护维修必须的材料信息等。</w:t>
      </w:r>
    </w:p>
    <w:p w14:paraId="7C11D336">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）该设备所产生的病人数据需存储在医院内部设备上，未经授权不得访问。</w:t>
      </w:r>
    </w:p>
    <w:p w14:paraId="52E0CC02">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3</w:t>
      </w:r>
      <w:r>
        <w:rPr>
          <w:rFonts w:hint="eastAsia" w:ascii="宋体" w:hAnsi="宋体"/>
          <w:bCs/>
          <w:color w:val="auto"/>
          <w:szCs w:val="21"/>
          <w:highlight w:val="none"/>
        </w:rPr>
        <w:t>）该设备未经允许不得组建或连接除医院工作的内网以外的任何网络，如需连接医院内网的可由设备使用科室向医院计算机信息中心申请。</w:t>
      </w:r>
    </w:p>
    <w:p w14:paraId="14FF3947">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4</w:t>
      </w:r>
      <w:r>
        <w:rPr>
          <w:rFonts w:hint="eastAsia" w:ascii="宋体" w:hAnsi="宋体"/>
          <w:bCs/>
          <w:color w:val="auto"/>
          <w:szCs w:val="21"/>
          <w:highlight w:val="none"/>
        </w:rPr>
        <w:t>）该设备含配套设备内所安装的软件（包括操作系统、应用软件等）需为正版授权。系统软件存在盗版情形视为违约，采购人有权解除合同并要求中标人赔偿全部损失。</w:t>
      </w:r>
    </w:p>
    <w:p w14:paraId="1E451663">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5</w:t>
      </w:r>
      <w:r>
        <w:rPr>
          <w:rFonts w:hint="eastAsia" w:ascii="宋体" w:hAnsi="宋体"/>
          <w:bCs/>
          <w:color w:val="auto"/>
          <w:szCs w:val="21"/>
          <w:highlight w:val="none"/>
        </w:rPr>
        <w:t>）安装验收时需提供该设备的水、电、气路设备原理图等技术资料。</w:t>
      </w:r>
    </w:p>
    <w:p w14:paraId="5B789347">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6</w:t>
      </w:r>
      <w:r>
        <w:rPr>
          <w:rFonts w:hint="eastAsia" w:ascii="宋体" w:hAnsi="宋体"/>
          <w:bCs/>
          <w:color w:val="auto"/>
          <w:szCs w:val="21"/>
          <w:highlight w:val="none"/>
        </w:rPr>
        <w:t>）安装验收时该设备的专用应用软件和驱动程序需提供原程序安装包，有注册码、密码锁的需提供相应注册码及密码。</w:t>
      </w:r>
    </w:p>
    <w:p w14:paraId="456B1AD4">
      <w:pPr>
        <w:widowControl/>
        <w:spacing w:line="360" w:lineRule="auto"/>
        <w:jc w:val="left"/>
        <w:rPr>
          <w:rFonts w:hint="eastAsia" w:ascii="宋体" w:hAnsi="宋体"/>
          <w:bCs/>
          <w:color w:val="auto"/>
          <w:szCs w:val="21"/>
          <w:highlight w:val="none"/>
          <w:lang w:eastAsia="zh-CN"/>
        </w:rPr>
      </w:pPr>
      <w:r>
        <w:rPr>
          <w:rFonts w:ascii="宋体" w:hAnsi="宋体"/>
          <w:bCs/>
          <w:color w:val="auto"/>
          <w:szCs w:val="21"/>
          <w:highlight w:val="none"/>
        </w:rPr>
        <w:t>7</w:t>
      </w:r>
      <w:r>
        <w:rPr>
          <w:rFonts w:hint="eastAsia" w:ascii="宋体" w:hAnsi="宋体"/>
          <w:bCs/>
          <w:color w:val="auto"/>
          <w:szCs w:val="21"/>
          <w:highlight w:val="none"/>
        </w:rPr>
        <w:t>）设备验收合格后进入为期90日的临床试运行期，试运行期间发现设备性能指标未达到招标文件技术参数的，中标人须在7日内完成整改，整改后仍不达标的采购人有权解除合同</w:t>
      </w:r>
      <w:r>
        <w:rPr>
          <w:rFonts w:hint="eastAsia" w:ascii="宋体" w:hAnsi="宋体"/>
          <w:bCs/>
          <w:color w:val="auto"/>
          <w:szCs w:val="21"/>
          <w:highlight w:val="none"/>
          <w:lang w:eastAsia="zh-CN"/>
        </w:rPr>
        <w:t>。</w:t>
      </w:r>
    </w:p>
    <w:p w14:paraId="2649AE15">
      <w:pPr>
        <w:widowControl/>
        <w:spacing w:line="360" w:lineRule="auto"/>
        <w:jc w:val="left"/>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8）需要工作站设备需提供工作站。</w:t>
      </w:r>
    </w:p>
    <w:p w14:paraId="7539AC51">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lang w:val="en-US" w:eastAsia="zh-CN"/>
        </w:rPr>
        <w:t>9）后期需负责所有设备安装、调试、提供安装图纸、配套设施等，达到院方使用要求</w:t>
      </w:r>
      <w:r>
        <w:rPr>
          <w:rFonts w:hint="eastAsia" w:ascii="宋体" w:hAnsi="宋体"/>
          <w:bCs/>
          <w:color w:val="auto"/>
          <w:szCs w:val="21"/>
          <w:highlight w:val="none"/>
        </w:rPr>
        <w:t>。</w:t>
      </w:r>
    </w:p>
    <w:p w14:paraId="4094A8D8">
      <w:pPr>
        <w:widowControl/>
        <w:snapToGrid w:val="0"/>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br w:type="page"/>
      </w:r>
    </w:p>
    <w:p w14:paraId="221E4568">
      <w:pPr>
        <w:pStyle w:val="4"/>
        <w:jc w:val="center"/>
        <w:rPr>
          <w:rFonts w:hint="eastAsia" w:ascii="宋体" w:hAnsi="宋体" w:eastAsia="宋体"/>
          <w:color w:val="auto"/>
          <w:szCs w:val="28"/>
          <w:highlight w:val="none"/>
        </w:rPr>
      </w:pPr>
      <w:r>
        <w:rPr>
          <w:rFonts w:hint="eastAsia" w:ascii="宋体" w:hAnsi="宋体" w:eastAsia="宋体"/>
          <w:bCs/>
          <w:color w:val="auto"/>
          <w:sz w:val="36"/>
          <w:szCs w:val="36"/>
          <w:highlight w:val="none"/>
        </w:rPr>
        <w:t>第六章 资格评审标准</w:t>
      </w:r>
      <w:bookmarkEnd w:id="201"/>
    </w:p>
    <w:p w14:paraId="7E595F93">
      <w:pPr>
        <w:pStyle w:val="19"/>
        <w:ind w:firstLine="420"/>
        <w:rPr>
          <w:rFonts w:hint="eastAsia"/>
          <w:color w:val="auto"/>
          <w:szCs w:val="21"/>
          <w:highlight w:val="none"/>
        </w:rPr>
      </w:pPr>
      <w:r>
        <w:rPr>
          <w:rFonts w:hint="eastAsia"/>
          <w:color w:val="auto"/>
          <w:highlight w:val="none"/>
        </w:rPr>
        <w:t>投标文件出现不满足下列各项评审内容及标准要求之一的，则资格评审为不合格。合格投标人不足3家的，不得评标。下列各项评审内容及标准均为招</w:t>
      </w:r>
      <w:r>
        <w:rPr>
          <w:color w:val="auto"/>
          <w:highlight w:val="none"/>
        </w:rPr>
        <w:t>标文件的实质性要求</w:t>
      </w:r>
      <w:r>
        <w:rPr>
          <w:rFonts w:hint="eastAsia"/>
          <w:color w:val="auto"/>
          <w:highlight w:val="none"/>
        </w:rPr>
        <w:t>，投标文件响应各款所列材料在开标后不得澄清、后补。</w:t>
      </w:r>
    </w:p>
    <w:tbl>
      <w:tblPr>
        <w:tblStyle w:val="33"/>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08"/>
        <w:gridCol w:w="7684"/>
      </w:tblGrid>
      <w:tr w14:paraId="0302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01" w:type="dxa"/>
            <w:vAlign w:val="center"/>
          </w:tcPr>
          <w:p w14:paraId="45B47E77">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评审程序</w:t>
            </w:r>
          </w:p>
        </w:tc>
        <w:tc>
          <w:tcPr>
            <w:tcW w:w="8392" w:type="dxa"/>
            <w:gridSpan w:val="2"/>
            <w:vAlign w:val="center"/>
          </w:tcPr>
          <w:p w14:paraId="38648302">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 审 内 容 及 标 准</w:t>
            </w:r>
          </w:p>
        </w:tc>
      </w:tr>
      <w:tr w14:paraId="1A50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01" w:type="dxa"/>
            <w:vMerge w:val="restart"/>
            <w:vAlign w:val="center"/>
          </w:tcPr>
          <w:p w14:paraId="18B9B1AC">
            <w:pPr>
              <w:spacing w:before="100" w:beforeAutospacing="1" w:after="100" w:afterAutospacing="1"/>
              <w:jc w:val="center"/>
              <w:rPr>
                <w:rFonts w:hint="eastAsia" w:ascii="宋体" w:hAnsi="宋体"/>
                <w:b/>
                <w:color w:val="auto"/>
                <w:szCs w:val="21"/>
                <w:highlight w:val="none"/>
              </w:rPr>
            </w:pPr>
            <w:r>
              <w:rPr>
                <w:rFonts w:hint="eastAsia" w:ascii="宋体" w:hAnsi="宋体"/>
                <w:color w:val="auto"/>
                <w:szCs w:val="21"/>
                <w:highlight w:val="none"/>
              </w:rPr>
              <w:t>资格评审标准</w:t>
            </w:r>
          </w:p>
        </w:tc>
        <w:tc>
          <w:tcPr>
            <w:tcW w:w="708" w:type="dxa"/>
            <w:vAlign w:val="center"/>
          </w:tcPr>
          <w:p w14:paraId="26E1DAAC">
            <w:pPr>
              <w:spacing w:before="100" w:beforeAutospacing="1" w:after="100" w:afterAutospacing="1" w:line="320" w:lineRule="exact"/>
              <w:jc w:val="center"/>
              <w:rPr>
                <w:rFonts w:hint="eastAsia" w:ascii="宋体" w:hAnsi="宋体"/>
                <w:b/>
                <w:color w:val="auto"/>
                <w:szCs w:val="21"/>
                <w:highlight w:val="none"/>
              </w:rPr>
            </w:pPr>
            <w:r>
              <w:rPr>
                <w:rFonts w:hint="eastAsia" w:ascii="宋体" w:hAnsi="宋体"/>
                <w:b/>
                <w:color w:val="auto"/>
                <w:szCs w:val="21"/>
                <w:highlight w:val="none"/>
              </w:rPr>
              <w:t>1</w:t>
            </w:r>
          </w:p>
        </w:tc>
        <w:tc>
          <w:tcPr>
            <w:tcW w:w="7684" w:type="dxa"/>
            <w:vAlign w:val="center"/>
          </w:tcPr>
          <w:p w14:paraId="418EB208">
            <w:pPr>
              <w:spacing w:before="100" w:beforeAutospacing="1" w:after="100" w:afterAutospacing="1" w:line="320" w:lineRule="exact"/>
              <w:jc w:val="left"/>
              <w:rPr>
                <w:rFonts w:hint="eastAsia" w:ascii="宋体" w:hAnsi="宋体"/>
                <w:b/>
                <w:color w:val="auto"/>
                <w:szCs w:val="21"/>
                <w:highlight w:val="none"/>
              </w:rPr>
            </w:pPr>
            <w:r>
              <w:rPr>
                <w:rFonts w:hint="eastAsia" w:ascii="宋体" w:hAnsi="宋体"/>
                <w:b/>
                <w:color w:val="auto"/>
                <w:szCs w:val="21"/>
                <w:highlight w:val="none"/>
              </w:rPr>
              <w:t>投标人应具备《中华人民共和国政府采购法》第二十二条规定的条件，并提供下列材料：</w:t>
            </w:r>
          </w:p>
        </w:tc>
      </w:tr>
      <w:tr w14:paraId="1448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229FB02B">
            <w:pPr>
              <w:spacing w:before="100" w:beforeAutospacing="1" w:after="100" w:afterAutospacing="1"/>
              <w:jc w:val="center"/>
              <w:rPr>
                <w:rFonts w:hint="eastAsia" w:ascii="宋体" w:hAnsi="宋体"/>
                <w:color w:val="auto"/>
                <w:szCs w:val="21"/>
                <w:highlight w:val="none"/>
              </w:rPr>
            </w:pPr>
          </w:p>
        </w:tc>
        <w:tc>
          <w:tcPr>
            <w:tcW w:w="708" w:type="dxa"/>
            <w:vAlign w:val="center"/>
          </w:tcPr>
          <w:p w14:paraId="633627D4">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1.1</w:t>
            </w:r>
          </w:p>
        </w:tc>
        <w:tc>
          <w:tcPr>
            <w:tcW w:w="7684" w:type="dxa"/>
            <w:vAlign w:val="center"/>
          </w:tcPr>
          <w:p w14:paraId="2FA2D16C">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color w:val="auto"/>
                <w:highlight w:val="none"/>
              </w:rPr>
              <w:t>投标人</w:t>
            </w:r>
            <w:r>
              <w:rPr>
                <w:rFonts w:hint="eastAsia" w:ascii="宋体" w:hAnsi="宋体"/>
                <w:color w:val="auto"/>
                <w:szCs w:val="21"/>
                <w:highlight w:val="none"/>
              </w:rPr>
              <w:t>在中华人民共和国境内注册能够独立承担民事责任，持有工商行政管理部门核发的营业执照的法人或其他组织</w:t>
            </w:r>
            <w:r>
              <w:rPr>
                <w:rFonts w:hint="eastAsia"/>
                <w:color w:val="auto"/>
                <w:highlight w:val="none"/>
              </w:rPr>
              <w:t>或自然人</w:t>
            </w:r>
            <w:r>
              <w:rPr>
                <w:rFonts w:hint="eastAsia" w:ascii="宋体" w:hAnsi="宋体"/>
                <w:color w:val="auto"/>
                <w:szCs w:val="21"/>
                <w:highlight w:val="none"/>
              </w:rPr>
              <w:t>，提供营业执照</w:t>
            </w:r>
            <w:r>
              <w:rPr>
                <w:rFonts w:hint="eastAsia"/>
                <w:color w:val="auto"/>
                <w:highlight w:val="none"/>
              </w:rPr>
              <w:t>或其他组织证明文件或自然人身份证</w:t>
            </w:r>
            <w:r>
              <w:rPr>
                <w:rFonts w:hint="eastAsia" w:ascii="宋体" w:hAnsi="宋体"/>
                <w:color w:val="auto"/>
                <w:szCs w:val="21"/>
                <w:highlight w:val="none"/>
              </w:rPr>
              <w:t>（扫描件）</w:t>
            </w:r>
            <w:r>
              <w:rPr>
                <w:rFonts w:hint="eastAsia" w:ascii="宋体" w:hAnsi="宋体"/>
                <w:color w:val="auto"/>
                <w:szCs w:val="21"/>
                <w:highlight w:val="none"/>
                <w:lang w:eastAsia="zh-CN"/>
              </w:rPr>
              <w:t>。</w:t>
            </w:r>
          </w:p>
        </w:tc>
      </w:tr>
      <w:tr w14:paraId="6180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ED87FC8">
            <w:pPr>
              <w:spacing w:before="100" w:beforeAutospacing="1" w:after="100" w:afterAutospacing="1"/>
              <w:jc w:val="center"/>
              <w:rPr>
                <w:rFonts w:hint="eastAsia" w:ascii="宋体" w:hAnsi="宋体"/>
                <w:color w:val="auto"/>
                <w:szCs w:val="21"/>
                <w:highlight w:val="none"/>
              </w:rPr>
            </w:pPr>
          </w:p>
        </w:tc>
        <w:tc>
          <w:tcPr>
            <w:tcW w:w="708" w:type="dxa"/>
            <w:vAlign w:val="center"/>
          </w:tcPr>
          <w:p w14:paraId="62AAE95B">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1.2</w:t>
            </w:r>
          </w:p>
        </w:tc>
        <w:tc>
          <w:tcPr>
            <w:tcW w:w="7684" w:type="dxa"/>
            <w:vAlign w:val="center"/>
          </w:tcPr>
          <w:p w14:paraId="51C72FC2">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投标人具有良好的商业信誉和健全的财务会计制度，须提供财务状况报告，内容可为以下三者之一：1）202</w:t>
            </w:r>
            <w:r>
              <w:rPr>
                <w:rFonts w:ascii="宋体" w:hAnsi="宋体"/>
                <w:color w:val="auto"/>
                <w:szCs w:val="21"/>
                <w:highlight w:val="none"/>
              </w:rPr>
              <w:t>2</w:t>
            </w:r>
            <w:r>
              <w:rPr>
                <w:rFonts w:hint="eastAsia" w:ascii="宋体" w:hAnsi="宋体"/>
                <w:color w:val="auto"/>
                <w:szCs w:val="21"/>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2）自投标文件提交截止时间前三个月内基本开户银行出具的资信证明（扫描件）。3）财政部门认可的政府采购专业担保机构出具的投标担保函，须同时提供专业担保机构经财政部门认可的证明文件。</w:t>
            </w:r>
          </w:p>
        </w:tc>
      </w:tr>
      <w:tr w14:paraId="11D5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08B17E3C">
            <w:pPr>
              <w:spacing w:before="100" w:beforeAutospacing="1" w:after="100" w:afterAutospacing="1"/>
              <w:rPr>
                <w:rFonts w:hint="eastAsia" w:ascii="宋体" w:hAnsi="宋体"/>
                <w:color w:val="auto"/>
                <w:szCs w:val="21"/>
                <w:highlight w:val="none"/>
              </w:rPr>
            </w:pPr>
          </w:p>
        </w:tc>
        <w:tc>
          <w:tcPr>
            <w:tcW w:w="708" w:type="dxa"/>
            <w:vAlign w:val="center"/>
          </w:tcPr>
          <w:p w14:paraId="1C448A9B">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1.3</w:t>
            </w:r>
          </w:p>
        </w:tc>
        <w:tc>
          <w:tcPr>
            <w:tcW w:w="7684" w:type="dxa"/>
            <w:vAlign w:val="center"/>
          </w:tcPr>
          <w:p w14:paraId="0C8628BD">
            <w:pPr>
              <w:autoSpaceDE w:val="0"/>
              <w:autoSpaceDN w:val="0"/>
              <w:snapToGrid w:val="0"/>
              <w:spacing w:line="300" w:lineRule="exact"/>
              <w:textAlignment w:val="bottom"/>
              <w:rPr>
                <w:rFonts w:hint="eastAsia" w:ascii="宋体" w:hAnsi="宋体" w:eastAsia="宋体"/>
                <w:color w:val="auto"/>
                <w:szCs w:val="21"/>
                <w:highlight w:val="none"/>
                <w:lang w:eastAsia="zh-CN"/>
              </w:rPr>
            </w:pPr>
            <w:r>
              <w:rPr>
                <w:rFonts w:hint="eastAsia" w:ascii="宋体" w:hAnsi="宋体"/>
                <w:color w:val="auto"/>
                <w:szCs w:val="21"/>
                <w:highlight w:val="none"/>
              </w:rPr>
              <w:t>投标人须具有依法缴纳税收的良好记录，提供2024年05月（含05月）至投标截止日期前任意</w:t>
            </w:r>
            <w:r>
              <w:rPr>
                <w:rFonts w:ascii="宋体" w:hAnsi="宋体"/>
                <w:color w:val="auto"/>
                <w:szCs w:val="21"/>
                <w:highlight w:val="none"/>
              </w:rPr>
              <w:t>1</w:t>
            </w:r>
            <w:r>
              <w:rPr>
                <w:rFonts w:hint="eastAsia" w:ascii="宋体" w:hAnsi="宋体"/>
                <w:color w:val="auto"/>
                <w:szCs w:val="21"/>
                <w:highlight w:val="none"/>
              </w:rPr>
              <w:t>个月的税务局税收通用缴款书扫描件或银行电子缴税（费）凭证扫描件或税务局出具纳税情况的相关证明（扫描件），依法免税的，应提供依法免税的相关证明文件（扫描件），成立未满6个月的提供成立以来的相关证明或相关情况说明</w:t>
            </w:r>
            <w:r>
              <w:rPr>
                <w:rFonts w:hint="eastAsia" w:ascii="宋体" w:hAnsi="宋体"/>
                <w:color w:val="auto"/>
                <w:szCs w:val="21"/>
                <w:highlight w:val="none"/>
                <w:lang w:eastAsia="zh-CN"/>
              </w:rPr>
              <w:t>。</w:t>
            </w:r>
          </w:p>
        </w:tc>
      </w:tr>
      <w:tr w14:paraId="59B3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A4D1448">
            <w:pPr>
              <w:spacing w:before="100" w:beforeAutospacing="1" w:after="100" w:afterAutospacing="1"/>
              <w:rPr>
                <w:rFonts w:hint="eastAsia" w:ascii="宋体" w:hAnsi="宋体"/>
                <w:color w:val="auto"/>
                <w:szCs w:val="21"/>
                <w:highlight w:val="none"/>
              </w:rPr>
            </w:pPr>
          </w:p>
        </w:tc>
        <w:tc>
          <w:tcPr>
            <w:tcW w:w="708" w:type="dxa"/>
            <w:vAlign w:val="center"/>
          </w:tcPr>
          <w:p w14:paraId="0A0FE60D">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1.4</w:t>
            </w:r>
          </w:p>
        </w:tc>
        <w:tc>
          <w:tcPr>
            <w:tcW w:w="7684" w:type="dxa"/>
            <w:vAlign w:val="center"/>
          </w:tcPr>
          <w:p w14:paraId="1EF936AC">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投标人须具有依法缴纳社会保障资金的良好记录，提供2024年05月（含05月）至投标截止日期前任意</w:t>
            </w:r>
            <w:r>
              <w:rPr>
                <w:rFonts w:ascii="宋体" w:hAnsi="宋体"/>
                <w:color w:val="auto"/>
                <w:szCs w:val="21"/>
                <w:highlight w:val="none"/>
              </w:rPr>
              <w:t>1</w:t>
            </w:r>
            <w:r>
              <w:rPr>
                <w:rFonts w:hint="eastAsia" w:ascii="宋体" w:hAnsi="宋体"/>
                <w:color w:val="auto"/>
                <w:szCs w:val="21"/>
                <w:highlight w:val="none"/>
              </w:rPr>
              <w:t>个月的社会保险费缴款书扫描件或银行电子缴税（费）凭证扫描件或税务局出具的有效的缴款证明扫描件，依法免缴的，应提供依法免缴的相关证明文件（扫描件），成立未满6个月的提供成立以来的相关证明或相关情况说明。</w:t>
            </w:r>
          </w:p>
        </w:tc>
      </w:tr>
      <w:tr w14:paraId="4F3F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101" w:type="dxa"/>
            <w:vMerge w:val="continue"/>
            <w:vAlign w:val="center"/>
          </w:tcPr>
          <w:p w14:paraId="4B28D64F">
            <w:pPr>
              <w:spacing w:before="100" w:beforeAutospacing="1" w:after="100" w:afterAutospacing="1"/>
              <w:rPr>
                <w:rFonts w:hint="eastAsia" w:ascii="宋体" w:hAnsi="宋体"/>
                <w:color w:val="auto"/>
                <w:szCs w:val="21"/>
                <w:highlight w:val="none"/>
              </w:rPr>
            </w:pPr>
          </w:p>
        </w:tc>
        <w:tc>
          <w:tcPr>
            <w:tcW w:w="708" w:type="dxa"/>
            <w:vAlign w:val="center"/>
          </w:tcPr>
          <w:p w14:paraId="78B26F49">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1.5</w:t>
            </w:r>
          </w:p>
        </w:tc>
        <w:tc>
          <w:tcPr>
            <w:tcW w:w="7684" w:type="dxa"/>
            <w:vAlign w:val="center"/>
          </w:tcPr>
          <w:p w14:paraId="70643482">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ascii="宋体" w:hAnsi="宋体"/>
                <w:color w:val="auto"/>
                <w:szCs w:val="21"/>
                <w:highlight w:val="none"/>
              </w:rPr>
              <w:t>投标人须提供具备履行合同所必需的设备和专业技术能力的证明材料（提供承诺函或证明材料）</w:t>
            </w:r>
            <w:r>
              <w:rPr>
                <w:rFonts w:hint="eastAsia" w:ascii="宋体" w:hAnsi="宋体"/>
                <w:color w:val="auto"/>
                <w:szCs w:val="21"/>
                <w:highlight w:val="none"/>
                <w:lang w:eastAsia="zh-CN"/>
              </w:rPr>
              <w:t>。</w:t>
            </w:r>
          </w:p>
        </w:tc>
      </w:tr>
      <w:tr w14:paraId="26DD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CBE5666">
            <w:pPr>
              <w:spacing w:before="100" w:beforeAutospacing="1" w:after="100" w:afterAutospacing="1"/>
              <w:rPr>
                <w:rFonts w:hint="eastAsia" w:ascii="宋体" w:hAnsi="宋体"/>
                <w:color w:val="auto"/>
                <w:szCs w:val="21"/>
                <w:highlight w:val="none"/>
              </w:rPr>
            </w:pPr>
          </w:p>
        </w:tc>
        <w:tc>
          <w:tcPr>
            <w:tcW w:w="708" w:type="dxa"/>
            <w:vAlign w:val="center"/>
          </w:tcPr>
          <w:p w14:paraId="3D055CEC">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1.6</w:t>
            </w:r>
          </w:p>
        </w:tc>
        <w:tc>
          <w:tcPr>
            <w:tcW w:w="7684" w:type="dxa"/>
            <w:vAlign w:val="center"/>
          </w:tcPr>
          <w:p w14:paraId="11CAA9B8">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ascii="宋体" w:hAnsi="宋体"/>
                <w:color w:val="auto"/>
                <w:szCs w:val="21"/>
                <w:highlight w:val="none"/>
              </w:rPr>
              <w:t>投标人必须提供参加政府采购活动前3年内在经营活动中没有重大违法记录的书面声明（重大违法记录，是指供应商因违法经营受到刑事处罚或者责令停产停业、吊销许可证或者执照、较大数额罚款等行政处罚）</w:t>
            </w:r>
            <w:r>
              <w:rPr>
                <w:rFonts w:hint="eastAsia" w:ascii="宋体" w:hAnsi="宋体"/>
                <w:color w:val="auto"/>
                <w:szCs w:val="21"/>
                <w:highlight w:val="none"/>
                <w:lang w:eastAsia="zh-CN"/>
              </w:rPr>
              <w:t>。</w:t>
            </w:r>
          </w:p>
        </w:tc>
      </w:tr>
      <w:tr w14:paraId="4C13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5F19E38E">
            <w:pPr>
              <w:spacing w:before="100" w:beforeAutospacing="1" w:after="100" w:afterAutospacing="1"/>
              <w:rPr>
                <w:rFonts w:hint="eastAsia" w:ascii="宋体" w:hAnsi="宋体"/>
                <w:color w:val="auto"/>
                <w:szCs w:val="21"/>
                <w:highlight w:val="none"/>
              </w:rPr>
            </w:pPr>
          </w:p>
        </w:tc>
        <w:tc>
          <w:tcPr>
            <w:tcW w:w="708" w:type="dxa"/>
            <w:vAlign w:val="center"/>
          </w:tcPr>
          <w:p w14:paraId="026B9FC5">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1.7</w:t>
            </w:r>
          </w:p>
        </w:tc>
        <w:tc>
          <w:tcPr>
            <w:tcW w:w="7684" w:type="dxa"/>
            <w:vAlign w:val="center"/>
          </w:tcPr>
          <w:p w14:paraId="501A2D25">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法律、行政法规规定的其他条件。</w:t>
            </w:r>
          </w:p>
        </w:tc>
      </w:tr>
      <w:tr w14:paraId="57C0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01" w:type="dxa"/>
            <w:vMerge w:val="continue"/>
            <w:vAlign w:val="center"/>
          </w:tcPr>
          <w:p w14:paraId="014BB4C8">
            <w:pPr>
              <w:spacing w:before="100" w:beforeAutospacing="1" w:after="100" w:afterAutospacing="1"/>
              <w:rPr>
                <w:rFonts w:hint="eastAsia" w:ascii="宋体" w:hAnsi="宋体"/>
                <w:color w:val="auto"/>
                <w:szCs w:val="21"/>
                <w:highlight w:val="none"/>
              </w:rPr>
            </w:pPr>
          </w:p>
        </w:tc>
        <w:tc>
          <w:tcPr>
            <w:tcW w:w="708" w:type="dxa"/>
            <w:vAlign w:val="center"/>
          </w:tcPr>
          <w:p w14:paraId="4387F619">
            <w:pPr>
              <w:spacing w:before="100" w:beforeAutospacing="1" w:after="100" w:afterAutospacing="1" w:line="280" w:lineRule="exact"/>
              <w:jc w:val="center"/>
              <w:rPr>
                <w:rFonts w:hint="eastAsia" w:ascii="宋体" w:hAnsi="宋体"/>
                <w:b/>
                <w:color w:val="auto"/>
                <w:szCs w:val="21"/>
                <w:highlight w:val="none"/>
              </w:rPr>
            </w:pPr>
            <w:r>
              <w:rPr>
                <w:rFonts w:hint="eastAsia" w:ascii="宋体" w:hAnsi="宋体"/>
                <w:b/>
                <w:color w:val="auto"/>
                <w:szCs w:val="21"/>
                <w:highlight w:val="none"/>
              </w:rPr>
              <w:t>2</w:t>
            </w:r>
          </w:p>
        </w:tc>
        <w:tc>
          <w:tcPr>
            <w:tcW w:w="7684" w:type="dxa"/>
            <w:vAlign w:val="center"/>
          </w:tcPr>
          <w:p w14:paraId="51F8FAF7">
            <w:pPr>
              <w:spacing w:before="100" w:beforeAutospacing="1" w:after="100" w:afterAutospacing="1" w:line="280" w:lineRule="exact"/>
              <w:jc w:val="left"/>
              <w:rPr>
                <w:rFonts w:hint="eastAsia" w:ascii="宋体" w:hAnsi="宋体"/>
                <w:b/>
                <w:color w:val="auto"/>
                <w:szCs w:val="21"/>
                <w:highlight w:val="none"/>
              </w:rPr>
            </w:pPr>
            <w:r>
              <w:rPr>
                <w:rFonts w:hint="eastAsia" w:ascii="宋体" w:hAnsi="宋体"/>
                <w:b/>
                <w:color w:val="auto"/>
                <w:szCs w:val="21"/>
                <w:highlight w:val="none"/>
              </w:rPr>
              <w:t>投标人应符合采购人根据采购项目的特殊要求规定的特定条件</w:t>
            </w:r>
          </w:p>
        </w:tc>
      </w:tr>
      <w:tr w14:paraId="1C27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01" w:type="dxa"/>
            <w:vMerge w:val="continue"/>
            <w:vAlign w:val="center"/>
          </w:tcPr>
          <w:p w14:paraId="1988FE45">
            <w:pPr>
              <w:spacing w:before="100" w:beforeAutospacing="1" w:after="100" w:afterAutospacing="1"/>
              <w:rPr>
                <w:rFonts w:hint="eastAsia" w:ascii="宋体" w:hAnsi="宋体"/>
                <w:color w:val="auto"/>
                <w:szCs w:val="21"/>
                <w:highlight w:val="none"/>
              </w:rPr>
            </w:pPr>
          </w:p>
        </w:tc>
        <w:tc>
          <w:tcPr>
            <w:tcW w:w="708" w:type="dxa"/>
            <w:vAlign w:val="center"/>
          </w:tcPr>
          <w:p w14:paraId="378F5929">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1</w:t>
            </w:r>
          </w:p>
        </w:tc>
        <w:tc>
          <w:tcPr>
            <w:tcW w:w="7684" w:type="dxa"/>
            <w:vAlign w:val="center"/>
          </w:tcPr>
          <w:p w14:paraId="19DCE7A3">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①所投产品被列入《医疗器械分类目录》内，投标人如果是代理商或经销商，须提供医疗器械经营许可/备案证，所投产品制造商医疗器械生产许可/备案证、所投产品的医疗器械注册证；投标人如果是制造商，须提供医疗器械生产许可/备案证、所投产品的医疗器械注册证。医疗器械生产或经营许可/备案证生产或经营范围须覆盖所投第二、三类医疗器械；②所投产品未被列入《医疗器械分类目录》内，投标人须提供相关证明材料或书面声明；</w:t>
            </w:r>
          </w:p>
        </w:tc>
      </w:tr>
      <w:tr w14:paraId="70CC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101" w:type="dxa"/>
            <w:vMerge w:val="continue"/>
            <w:vAlign w:val="center"/>
          </w:tcPr>
          <w:p w14:paraId="44BF6DA2">
            <w:pPr>
              <w:spacing w:before="100" w:beforeAutospacing="1" w:after="100" w:afterAutospacing="1"/>
              <w:rPr>
                <w:rFonts w:hint="eastAsia" w:ascii="宋体" w:hAnsi="宋体"/>
                <w:color w:val="auto"/>
                <w:szCs w:val="21"/>
                <w:highlight w:val="none"/>
              </w:rPr>
            </w:pPr>
          </w:p>
        </w:tc>
        <w:tc>
          <w:tcPr>
            <w:tcW w:w="708" w:type="dxa"/>
            <w:vAlign w:val="center"/>
          </w:tcPr>
          <w:p w14:paraId="7EDDBC9C">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2</w:t>
            </w:r>
          </w:p>
        </w:tc>
        <w:tc>
          <w:tcPr>
            <w:tcW w:w="7684" w:type="dxa"/>
            <w:vAlign w:val="center"/>
          </w:tcPr>
          <w:p w14:paraId="1B99A7EE">
            <w:pPr>
              <w:spacing w:before="100" w:beforeAutospacing="1" w:after="100" w:afterAutospacing="1" w:line="280" w:lineRule="exact"/>
              <w:jc w:val="left"/>
              <w:rPr>
                <w:rFonts w:hint="eastAsia" w:ascii="宋体" w:hAnsi="宋体"/>
                <w:color w:val="auto"/>
                <w:kern w:val="0"/>
                <w:szCs w:val="21"/>
                <w:highlight w:val="none"/>
              </w:rPr>
            </w:pPr>
            <w:r>
              <w:rPr>
                <w:rFonts w:hint="eastAsia" w:ascii="宋体" w:hAnsi="宋体"/>
                <w:color w:val="auto"/>
                <w:szCs w:val="21"/>
                <w:highlight w:val="none"/>
              </w:rPr>
              <w:t>投标人在递交投标文件截止之日前未被“信用中国”网站（www.creditchina.gov.cn）列入失信被执行人、重大税收违法失信主体，未被“中国政府采购网”（www.ccgp.gov.cn）列入政府采购严重违法失信行为信息记录；</w:t>
            </w:r>
            <w:r>
              <w:rPr>
                <w:rFonts w:hint="eastAsia" w:ascii="宋体" w:hAnsi="宋体"/>
                <w:color w:val="auto"/>
                <w:szCs w:val="21"/>
                <w:highlight w:val="none"/>
                <w:lang w:eastAsia="zh-CN"/>
              </w:rPr>
              <w:t>（由</w:t>
            </w:r>
            <w:r>
              <w:rPr>
                <w:rFonts w:hint="eastAsia" w:ascii="宋体" w:hAnsi="宋体"/>
                <w:color w:val="auto"/>
                <w:szCs w:val="21"/>
                <w:highlight w:val="none"/>
                <w:lang w:val="en-US" w:eastAsia="zh-CN"/>
              </w:rPr>
              <w:t>采购</w:t>
            </w:r>
            <w:r>
              <w:rPr>
                <w:rFonts w:hint="eastAsia" w:ascii="宋体" w:hAnsi="宋体"/>
                <w:color w:val="auto"/>
                <w:szCs w:val="21"/>
                <w:highlight w:val="none"/>
                <w:lang w:eastAsia="zh-CN"/>
              </w:rPr>
              <w:t>代理机构统一上网查询）</w:t>
            </w:r>
          </w:p>
        </w:tc>
      </w:tr>
      <w:tr w14:paraId="0219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631A3BD5">
            <w:pPr>
              <w:spacing w:before="100" w:beforeAutospacing="1" w:after="100" w:afterAutospacing="1"/>
              <w:rPr>
                <w:rFonts w:hint="eastAsia" w:ascii="宋体" w:hAnsi="宋体"/>
                <w:color w:val="auto"/>
                <w:szCs w:val="21"/>
                <w:highlight w:val="none"/>
              </w:rPr>
            </w:pPr>
          </w:p>
        </w:tc>
        <w:tc>
          <w:tcPr>
            <w:tcW w:w="708" w:type="dxa"/>
            <w:vAlign w:val="center"/>
          </w:tcPr>
          <w:p w14:paraId="0076587D">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2.3</w:t>
            </w:r>
          </w:p>
        </w:tc>
        <w:tc>
          <w:tcPr>
            <w:tcW w:w="7684" w:type="dxa"/>
            <w:vAlign w:val="center"/>
          </w:tcPr>
          <w:p w14:paraId="572D5B6C">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kern w:val="0"/>
                <w:szCs w:val="21"/>
                <w:highlight w:val="none"/>
              </w:rPr>
              <w:t>单位负责人为同一人或者存在直接控股、管理关系的不同供应商，不得参加同一合同项下的政府采购活动；</w:t>
            </w:r>
          </w:p>
        </w:tc>
      </w:tr>
      <w:tr w14:paraId="2346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0FFA206B">
            <w:pPr>
              <w:spacing w:before="100" w:beforeAutospacing="1" w:after="100" w:afterAutospacing="1"/>
              <w:rPr>
                <w:rFonts w:hint="eastAsia" w:ascii="宋体" w:hAnsi="宋体"/>
                <w:color w:val="auto"/>
                <w:szCs w:val="21"/>
                <w:highlight w:val="none"/>
              </w:rPr>
            </w:pPr>
          </w:p>
        </w:tc>
        <w:tc>
          <w:tcPr>
            <w:tcW w:w="708" w:type="dxa"/>
            <w:vAlign w:val="center"/>
          </w:tcPr>
          <w:p w14:paraId="09BA5083">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4</w:t>
            </w:r>
          </w:p>
        </w:tc>
        <w:tc>
          <w:tcPr>
            <w:tcW w:w="7684" w:type="dxa"/>
            <w:vAlign w:val="center"/>
          </w:tcPr>
          <w:p w14:paraId="4BAF6870">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szCs w:val="21"/>
                <w:highlight w:val="none"/>
              </w:rPr>
              <w:t>为本项目提供整体设计、规范编制或者项目管理、监理、检测等服务的供应商，不得再参加本项目的采购活动；</w:t>
            </w:r>
          </w:p>
        </w:tc>
      </w:tr>
      <w:tr w14:paraId="6856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2E902CD">
            <w:pPr>
              <w:spacing w:before="100" w:beforeAutospacing="1" w:after="100" w:afterAutospacing="1"/>
              <w:rPr>
                <w:rFonts w:hint="eastAsia" w:ascii="宋体" w:hAnsi="宋体"/>
                <w:color w:val="auto"/>
                <w:szCs w:val="21"/>
                <w:highlight w:val="none"/>
              </w:rPr>
            </w:pPr>
          </w:p>
        </w:tc>
        <w:tc>
          <w:tcPr>
            <w:tcW w:w="708" w:type="dxa"/>
            <w:vAlign w:val="center"/>
          </w:tcPr>
          <w:p w14:paraId="1B2EC7FA">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2.5</w:t>
            </w:r>
          </w:p>
        </w:tc>
        <w:tc>
          <w:tcPr>
            <w:tcW w:w="7684" w:type="dxa"/>
            <w:vAlign w:val="center"/>
          </w:tcPr>
          <w:p w14:paraId="471E6517">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szCs w:val="21"/>
                <w:highlight w:val="none"/>
              </w:rPr>
              <w:t>投标人须保证使用方在设备和配套软件产品使用期不受第三方提出侵犯其专利权、商标权、工业设计权、著作权或其它知识产权的起诉，提供承诺函；</w:t>
            </w:r>
          </w:p>
        </w:tc>
      </w:tr>
      <w:tr w14:paraId="797C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101" w:type="dxa"/>
            <w:vMerge w:val="continue"/>
            <w:vAlign w:val="center"/>
          </w:tcPr>
          <w:p w14:paraId="0CEC2FE8">
            <w:pPr>
              <w:spacing w:before="100" w:beforeAutospacing="1" w:after="100" w:afterAutospacing="1"/>
              <w:rPr>
                <w:rFonts w:hint="eastAsia" w:ascii="宋体" w:hAnsi="宋体"/>
                <w:color w:val="auto"/>
                <w:szCs w:val="21"/>
                <w:highlight w:val="none"/>
              </w:rPr>
            </w:pPr>
          </w:p>
        </w:tc>
        <w:tc>
          <w:tcPr>
            <w:tcW w:w="708" w:type="dxa"/>
            <w:vAlign w:val="center"/>
          </w:tcPr>
          <w:p w14:paraId="04FC9610">
            <w:pPr>
              <w:spacing w:before="100" w:beforeAutospacing="1" w:after="100" w:afterAutospacing="1" w:line="280" w:lineRule="exact"/>
              <w:jc w:val="center"/>
              <w:rPr>
                <w:rFonts w:hint="eastAsia" w:ascii="宋体" w:hAnsi="宋体"/>
                <w:color w:val="auto"/>
                <w:szCs w:val="21"/>
                <w:highlight w:val="none"/>
              </w:rPr>
            </w:pPr>
            <w:r>
              <w:rPr>
                <w:rFonts w:ascii="宋体" w:hAnsi="宋体"/>
                <w:color w:val="auto"/>
                <w:szCs w:val="21"/>
                <w:highlight w:val="none"/>
              </w:rPr>
              <w:t>3</w:t>
            </w:r>
          </w:p>
        </w:tc>
        <w:tc>
          <w:tcPr>
            <w:tcW w:w="7684" w:type="dxa"/>
            <w:vAlign w:val="center"/>
          </w:tcPr>
          <w:p w14:paraId="6915842E">
            <w:pPr>
              <w:spacing w:before="100" w:beforeAutospacing="1" w:after="100" w:afterAutospacing="1" w:line="280" w:lineRule="exact"/>
              <w:jc w:val="left"/>
              <w:rPr>
                <w:rFonts w:hint="eastAsia" w:ascii="宋体" w:hAnsi="宋体"/>
                <w:color w:val="auto"/>
                <w:kern w:val="0"/>
                <w:szCs w:val="21"/>
                <w:highlight w:val="none"/>
              </w:rPr>
            </w:pPr>
            <w:r>
              <w:rPr>
                <w:rFonts w:ascii="宋体" w:hAnsi="宋体"/>
                <w:color w:val="auto"/>
                <w:kern w:val="0"/>
                <w:szCs w:val="21"/>
                <w:highlight w:val="none"/>
              </w:rPr>
              <w:t>本项目不接受联合体投标</w:t>
            </w:r>
            <w:r>
              <w:rPr>
                <w:rFonts w:hint="eastAsia" w:ascii="宋体" w:hAnsi="宋体"/>
                <w:color w:val="auto"/>
                <w:kern w:val="0"/>
                <w:szCs w:val="21"/>
                <w:highlight w:val="none"/>
              </w:rPr>
              <w:t>。</w:t>
            </w:r>
          </w:p>
        </w:tc>
      </w:tr>
    </w:tbl>
    <w:p w14:paraId="428C7DDB">
      <w:pPr>
        <w:rPr>
          <w:color w:val="auto"/>
          <w:highlight w:val="none"/>
        </w:rPr>
      </w:pPr>
    </w:p>
    <w:p w14:paraId="22C51C7E">
      <w:pPr>
        <w:widowControl/>
        <w:jc w:val="left"/>
        <w:rPr>
          <w:rFonts w:hint="eastAsia" w:ascii="宋体" w:hAnsi="宋体"/>
          <w:b/>
          <w:bCs/>
          <w:color w:val="auto"/>
          <w:kern w:val="44"/>
          <w:sz w:val="36"/>
          <w:szCs w:val="36"/>
          <w:highlight w:val="none"/>
        </w:rPr>
      </w:pPr>
    </w:p>
    <w:p w14:paraId="7EE2D0C1">
      <w:pPr>
        <w:widowControl/>
        <w:jc w:val="left"/>
        <w:rPr>
          <w:rFonts w:hint="eastAsia" w:ascii="宋体" w:hAnsi="宋体"/>
          <w:b/>
          <w:bCs/>
          <w:color w:val="auto"/>
          <w:kern w:val="44"/>
          <w:sz w:val="36"/>
          <w:szCs w:val="36"/>
          <w:highlight w:val="none"/>
        </w:rPr>
      </w:pPr>
      <w:bookmarkStart w:id="202" w:name="_Toc24548"/>
      <w:r>
        <w:rPr>
          <w:rFonts w:ascii="宋体" w:hAnsi="宋体"/>
          <w:bCs/>
          <w:color w:val="auto"/>
          <w:sz w:val="36"/>
          <w:szCs w:val="36"/>
          <w:highlight w:val="none"/>
        </w:rPr>
        <w:br w:type="page"/>
      </w:r>
    </w:p>
    <w:p w14:paraId="5E6F8B26">
      <w:pPr>
        <w:pStyle w:val="4"/>
        <w:jc w:val="center"/>
        <w:rPr>
          <w:rFonts w:hint="eastAsia" w:ascii="宋体" w:hAnsi="宋体" w:eastAsia="宋体"/>
          <w:bCs/>
          <w:color w:val="auto"/>
          <w:sz w:val="36"/>
          <w:szCs w:val="36"/>
          <w:highlight w:val="none"/>
        </w:rPr>
      </w:pPr>
      <w:r>
        <w:rPr>
          <w:rFonts w:hint="eastAsia" w:ascii="宋体" w:hAnsi="宋体" w:eastAsia="宋体"/>
          <w:bCs/>
          <w:color w:val="auto"/>
          <w:sz w:val="36"/>
          <w:szCs w:val="36"/>
          <w:highlight w:val="none"/>
        </w:rPr>
        <w:t>第七章 评标方法（综合评分法）</w:t>
      </w:r>
      <w:bookmarkEnd w:id="202"/>
    </w:p>
    <w:p w14:paraId="783A2790">
      <w:pPr>
        <w:pStyle w:val="5"/>
        <w:rPr>
          <w:color w:val="auto"/>
          <w:highlight w:val="none"/>
        </w:rPr>
      </w:pPr>
      <w:bookmarkStart w:id="203" w:name="_Toc402942147"/>
      <w:bookmarkStart w:id="204" w:name="_Toc30704"/>
      <w:bookmarkStart w:id="205" w:name="_Toc398126394"/>
      <w:bookmarkStart w:id="206" w:name="_Toc33095576"/>
      <w:bookmarkStart w:id="207" w:name="_Toc16168596"/>
      <w:r>
        <w:rPr>
          <w:rFonts w:hint="eastAsia"/>
          <w:color w:val="auto"/>
          <w:highlight w:val="none"/>
        </w:rPr>
        <w:t>评标方法前附表</w:t>
      </w:r>
      <w:bookmarkEnd w:id="203"/>
      <w:bookmarkEnd w:id="204"/>
      <w:bookmarkEnd w:id="205"/>
      <w:bookmarkEnd w:id="206"/>
      <w:bookmarkEnd w:id="207"/>
    </w:p>
    <w:tbl>
      <w:tblPr>
        <w:tblStyle w:val="33"/>
        <w:tblW w:w="10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276"/>
        <w:gridCol w:w="1853"/>
        <w:gridCol w:w="5943"/>
      </w:tblGrid>
      <w:tr w14:paraId="3FA4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blHeader/>
          <w:jc w:val="center"/>
        </w:trPr>
        <w:tc>
          <w:tcPr>
            <w:tcW w:w="973" w:type="dxa"/>
            <w:vAlign w:val="center"/>
          </w:tcPr>
          <w:p w14:paraId="6A0CBBB1">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1276" w:type="dxa"/>
            <w:vAlign w:val="center"/>
          </w:tcPr>
          <w:p w14:paraId="05896339">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评审程序</w:t>
            </w:r>
          </w:p>
        </w:tc>
        <w:tc>
          <w:tcPr>
            <w:tcW w:w="7796" w:type="dxa"/>
            <w:gridSpan w:val="2"/>
            <w:vAlign w:val="center"/>
          </w:tcPr>
          <w:p w14:paraId="02B04718">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 审 内 容 及 标 准</w:t>
            </w:r>
          </w:p>
        </w:tc>
      </w:tr>
      <w:tr w14:paraId="2C67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restart"/>
            <w:vAlign w:val="center"/>
          </w:tcPr>
          <w:p w14:paraId="163FDDA6">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3.1</w:t>
            </w:r>
          </w:p>
        </w:tc>
        <w:tc>
          <w:tcPr>
            <w:tcW w:w="1276" w:type="dxa"/>
            <w:vMerge w:val="restart"/>
            <w:vAlign w:val="center"/>
          </w:tcPr>
          <w:p w14:paraId="2B26F4FC">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符合性评审标准</w:t>
            </w:r>
          </w:p>
        </w:tc>
        <w:tc>
          <w:tcPr>
            <w:tcW w:w="7796" w:type="dxa"/>
            <w:gridSpan w:val="2"/>
            <w:vAlign w:val="center"/>
          </w:tcPr>
          <w:p w14:paraId="10912C8F">
            <w:pPr>
              <w:spacing w:before="100" w:beforeAutospacing="1" w:after="100" w:afterAutospacing="1"/>
              <w:jc w:val="left"/>
              <w:rPr>
                <w:rFonts w:hint="eastAsia" w:ascii="宋体" w:hAnsi="宋体"/>
                <w:b/>
                <w:color w:val="auto"/>
                <w:szCs w:val="21"/>
                <w:highlight w:val="none"/>
              </w:rPr>
            </w:pPr>
            <w:r>
              <w:rPr>
                <w:rFonts w:ascii="宋体" w:hAnsi="宋体"/>
                <w:b/>
                <w:color w:val="auto"/>
                <w:szCs w:val="21"/>
                <w:highlight w:val="none"/>
              </w:rPr>
              <w:t>投标人存在下列情况之一的，投标无效</w:t>
            </w:r>
            <w:r>
              <w:rPr>
                <w:rFonts w:hint="eastAsia" w:ascii="宋体" w:hAnsi="宋体"/>
                <w:b/>
                <w:color w:val="auto"/>
                <w:szCs w:val="21"/>
                <w:highlight w:val="none"/>
              </w:rPr>
              <w:t>：</w:t>
            </w:r>
          </w:p>
        </w:tc>
      </w:tr>
      <w:tr w14:paraId="0309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3" w:type="dxa"/>
            <w:vMerge w:val="continue"/>
            <w:vAlign w:val="center"/>
          </w:tcPr>
          <w:p w14:paraId="0C8CFD01">
            <w:pPr>
              <w:spacing w:before="100" w:beforeAutospacing="1" w:after="100" w:afterAutospacing="1"/>
              <w:jc w:val="center"/>
              <w:rPr>
                <w:rFonts w:hint="eastAsia" w:ascii="宋体" w:hAnsi="宋体"/>
                <w:color w:val="auto"/>
                <w:szCs w:val="21"/>
                <w:highlight w:val="none"/>
              </w:rPr>
            </w:pPr>
          </w:p>
        </w:tc>
        <w:tc>
          <w:tcPr>
            <w:tcW w:w="1276" w:type="dxa"/>
            <w:vMerge w:val="continue"/>
            <w:vAlign w:val="center"/>
          </w:tcPr>
          <w:p w14:paraId="17D2C22B">
            <w:pPr>
              <w:spacing w:before="100" w:beforeAutospacing="1" w:after="100" w:afterAutospacing="1"/>
              <w:jc w:val="center"/>
              <w:rPr>
                <w:rFonts w:hint="eastAsia" w:ascii="宋体" w:hAnsi="宋体"/>
                <w:color w:val="auto"/>
                <w:szCs w:val="21"/>
                <w:highlight w:val="none"/>
              </w:rPr>
            </w:pPr>
          </w:p>
        </w:tc>
        <w:tc>
          <w:tcPr>
            <w:tcW w:w="1853" w:type="dxa"/>
            <w:vAlign w:val="center"/>
          </w:tcPr>
          <w:p w14:paraId="0B6FA4F2">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投标保证金</w:t>
            </w:r>
          </w:p>
        </w:tc>
        <w:tc>
          <w:tcPr>
            <w:tcW w:w="5943" w:type="dxa"/>
            <w:vAlign w:val="center"/>
          </w:tcPr>
          <w:p w14:paraId="551789AA">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未按照招标文件的规定提交投标保证金的；</w:t>
            </w:r>
          </w:p>
        </w:tc>
      </w:tr>
      <w:tr w14:paraId="66E8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973" w:type="dxa"/>
            <w:vMerge w:val="continue"/>
            <w:vAlign w:val="center"/>
          </w:tcPr>
          <w:p w14:paraId="12824EE8">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C19DFE5">
            <w:pPr>
              <w:spacing w:before="100" w:beforeAutospacing="1" w:after="100" w:afterAutospacing="1"/>
              <w:rPr>
                <w:rFonts w:hint="eastAsia" w:ascii="宋体" w:hAnsi="宋体"/>
                <w:color w:val="auto"/>
                <w:szCs w:val="21"/>
                <w:highlight w:val="none"/>
              </w:rPr>
            </w:pPr>
          </w:p>
        </w:tc>
        <w:tc>
          <w:tcPr>
            <w:tcW w:w="1853" w:type="dxa"/>
            <w:vAlign w:val="center"/>
          </w:tcPr>
          <w:p w14:paraId="77AF14DA">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签署、盖章</w:t>
            </w:r>
          </w:p>
        </w:tc>
        <w:tc>
          <w:tcPr>
            <w:tcW w:w="5943" w:type="dxa"/>
            <w:vAlign w:val="center"/>
          </w:tcPr>
          <w:p w14:paraId="12BFE609">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投标文件未按招标文件要求签署、盖章的；</w:t>
            </w:r>
          </w:p>
        </w:tc>
      </w:tr>
      <w:tr w14:paraId="12BD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0503DD5F">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00504308">
            <w:pPr>
              <w:spacing w:before="100" w:beforeAutospacing="1" w:after="100" w:afterAutospacing="1"/>
              <w:rPr>
                <w:rFonts w:hint="eastAsia" w:ascii="宋体" w:hAnsi="宋体"/>
                <w:color w:val="auto"/>
                <w:szCs w:val="21"/>
                <w:highlight w:val="none"/>
              </w:rPr>
            </w:pPr>
          </w:p>
        </w:tc>
        <w:tc>
          <w:tcPr>
            <w:tcW w:w="1853" w:type="dxa"/>
            <w:vAlign w:val="center"/>
          </w:tcPr>
          <w:p w14:paraId="22284241">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投标报价</w:t>
            </w:r>
          </w:p>
        </w:tc>
        <w:tc>
          <w:tcPr>
            <w:tcW w:w="5943" w:type="dxa"/>
            <w:vAlign w:val="center"/>
          </w:tcPr>
          <w:p w14:paraId="7D8281DE">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投标报价超过招标文件中规定的预算金额或者最高限价的，标的物单价报价超过单价限价的；</w:t>
            </w:r>
          </w:p>
        </w:tc>
      </w:tr>
      <w:tr w14:paraId="3AAA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79394303">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4CCB371">
            <w:pPr>
              <w:spacing w:before="100" w:beforeAutospacing="1" w:after="100" w:afterAutospacing="1"/>
              <w:rPr>
                <w:rFonts w:hint="eastAsia" w:ascii="宋体" w:hAnsi="宋体"/>
                <w:color w:val="auto"/>
                <w:szCs w:val="21"/>
                <w:highlight w:val="none"/>
              </w:rPr>
            </w:pPr>
          </w:p>
        </w:tc>
        <w:tc>
          <w:tcPr>
            <w:tcW w:w="1853" w:type="dxa"/>
            <w:vAlign w:val="center"/>
          </w:tcPr>
          <w:p w14:paraId="5C0CB883">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法定代表人身份证明书</w:t>
            </w:r>
          </w:p>
        </w:tc>
        <w:tc>
          <w:tcPr>
            <w:tcW w:w="5943" w:type="dxa"/>
            <w:vAlign w:val="center"/>
          </w:tcPr>
          <w:p w14:paraId="6F0F57D9">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不符合招标文件规定的格式及内容；</w:t>
            </w:r>
          </w:p>
        </w:tc>
      </w:tr>
      <w:tr w14:paraId="5CAA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28C1ABDE">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8EB2896">
            <w:pPr>
              <w:spacing w:before="100" w:beforeAutospacing="1" w:after="100" w:afterAutospacing="1"/>
              <w:rPr>
                <w:rFonts w:hint="eastAsia" w:ascii="宋体" w:hAnsi="宋体"/>
                <w:color w:val="auto"/>
                <w:szCs w:val="21"/>
                <w:highlight w:val="none"/>
              </w:rPr>
            </w:pPr>
          </w:p>
        </w:tc>
        <w:tc>
          <w:tcPr>
            <w:tcW w:w="1853" w:type="dxa"/>
            <w:vAlign w:val="center"/>
          </w:tcPr>
          <w:p w14:paraId="6080BA2A">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法定代表人授权委托书</w:t>
            </w:r>
          </w:p>
        </w:tc>
        <w:tc>
          <w:tcPr>
            <w:tcW w:w="5943" w:type="dxa"/>
            <w:vAlign w:val="center"/>
          </w:tcPr>
          <w:p w14:paraId="4572B586">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不符合招标文件规定的格式及内容，未提供相关证明材料；</w:t>
            </w:r>
          </w:p>
        </w:tc>
      </w:tr>
      <w:tr w14:paraId="1C14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1AF414CD">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0CEC2D5">
            <w:pPr>
              <w:spacing w:before="100" w:beforeAutospacing="1" w:after="100" w:afterAutospacing="1"/>
              <w:rPr>
                <w:rFonts w:hint="eastAsia" w:ascii="宋体" w:hAnsi="宋体"/>
                <w:color w:val="auto"/>
                <w:szCs w:val="21"/>
                <w:highlight w:val="none"/>
              </w:rPr>
            </w:pPr>
          </w:p>
        </w:tc>
        <w:tc>
          <w:tcPr>
            <w:tcW w:w="1853" w:type="dxa"/>
            <w:vAlign w:val="center"/>
          </w:tcPr>
          <w:p w14:paraId="37152E5C">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不能接受的附加条件</w:t>
            </w:r>
          </w:p>
        </w:tc>
        <w:tc>
          <w:tcPr>
            <w:tcW w:w="5943" w:type="dxa"/>
            <w:vAlign w:val="center"/>
          </w:tcPr>
          <w:p w14:paraId="42A0561D">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投标文件含有招标人不能接受的附加条件的；</w:t>
            </w:r>
          </w:p>
        </w:tc>
      </w:tr>
      <w:tr w14:paraId="0869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5810BA12">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14BF2965">
            <w:pPr>
              <w:spacing w:before="100" w:beforeAutospacing="1" w:after="100" w:afterAutospacing="1"/>
              <w:rPr>
                <w:rFonts w:hint="eastAsia" w:ascii="宋体" w:hAnsi="宋体"/>
                <w:color w:val="auto"/>
                <w:szCs w:val="21"/>
                <w:highlight w:val="none"/>
              </w:rPr>
            </w:pPr>
          </w:p>
        </w:tc>
        <w:tc>
          <w:tcPr>
            <w:tcW w:w="1853" w:type="dxa"/>
            <w:vAlign w:val="center"/>
          </w:tcPr>
          <w:p w14:paraId="04A3CDE7">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其他实质性条件</w:t>
            </w:r>
          </w:p>
        </w:tc>
        <w:tc>
          <w:tcPr>
            <w:tcW w:w="5943" w:type="dxa"/>
            <w:vAlign w:val="center"/>
          </w:tcPr>
          <w:p w14:paraId="1B1ED1F7">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未实质性响应招标文件中标注★条款内容的；</w:t>
            </w:r>
          </w:p>
        </w:tc>
      </w:tr>
      <w:tr w14:paraId="07EF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5890CE21">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4640BC0D">
            <w:pPr>
              <w:spacing w:before="100" w:beforeAutospacing="1" w:after="100" w:afterAutospacing="1"/>
              <w:rPr>
                <w:rFonts w:hint="eastAsia" w:ascii="宋体" w:hAnsi="宋体"/>
                <w:color w:val="auto"/>
                <w:szCs w:val="21"/>
                <w:highlight w:val="none"/>
              </w:rPr>
            </w:pPr>
          </w:p>
        </w:tc>
        <w:tc>
          <w:tcPr>
            <w:tcW w:w="1853" w:type="dxa"/>
            <w:vAlign w:val="center"/>
          </w:tcPr>
          <w:p w14:paraId="3C7B266D">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其他无效情形</w:t>
            </w:r>
          </w:p>
        </w:tc>
        <w:tc>
          <w:tcPr>
            <w:tcW w:w="5943" w:type="dxa"/>
            <w:vAlign w:val="center"/>
          </w:tcPr>
          <w:p w14:paraId="5B7DE60F">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法律、法规和招标文件规定的其他无效情形。</w:t>
            </w:r>
          </w:p>
        </w:tc>
      </w:tr>
      <w:tr w14:paraId="40D5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973" w:type="dxa"/>
            <w:vMerge w:val="restart"/>
            <w:vAlign w:val="center"/>
          </w:tcPr>
          <w:p w14:paraId="109B2BED">
            <w:pPr>
              <w:jc w:val="center"/>
              <w:rPr>
                <w:rFonts w:hint="eastAsia" w:ascii="宋体" w:hAnsi="宋体"/>
                <w:color w:val="auto"/>
                <w:szCs w:val="21"/>
                <w:highlight w:val="none"/>
              </w:rPr>
            </w:pPr>
            <w:r>
              <w:rPr>
                <w:rFonts w:hint="eastAsia" w:ascii="宋体" w:hAnsi="宋体"/>
                <w:color w:val="auto"/>
                <w:szCs w:val="21"/>
                <w:highlight w:val="none"/>
              </w:rPr>
              <w:t>3.2</w:t>
            </w:r>
          </w:p>
        </w:tc>
        <w:tc>
          <w:tcPr>
            <w:tcW w:w="1276" w:type="dxa"/>
            <w:vMerge w:val="restart"/>
            <w:vAlign w:val="center"/>
          </w:tcPr>
          <w:p w14:paraId="2BF0EF87">
            <w:pPr>
              <w:rPr>
                <w:rFonts w:hint="eastAsia" w:ascii="宋体" w:hAnsi="宋体"/>
                <w:color w:val="auto"/>
                <w:szCs w:val="21"/>
                <w:highlight w:val="none"/>
              </w:rPr>
            </w:pPr>
            <w:r>
              <w:rPr>
                <w:rFonts w:hint="eastAsia" w:ascii="宋体" w:hAnsi="宋体"/>
                <w:color w:val="auto"/>
                <w:szCs w:val="21"/>
                <w:highlight w:val="none"/>
              </w:rPr>
              <w:t>详细评审标准</w:t>
            </w:r>
          </w:p>
        </w:tc>
        <w:tc>
          <w:tcPr>
            <w:tcW w:w="1853" w:type="dxa"/>
            <w:vAlign w:val="center"/>
          </w:tcPr>
          <w:p w14:paraId="5521CC02">
            <w:pPr>
              <w:jc w:val="center"/>
              <w:rPr>
                <w:rFonts w:hint="eastAsia" w:ascii="宋体" w:hAnsi="宋体"/>
                <w:color w:val="auto"/>
                <w:szCs w:val="21"/>
                <w:highlight w:val="none"/>
              </w:rPr>
            </w:pPr>
            <w:r>
              <w:rPr>
                <w:rFonts w:hint="eastAsia" w:ascii="宋体" w:hAnsi="宋体"/>
                <w:color w:val="auto"/>
                <w:szCs w:val="21"/>
                <w:highlight w:val="none"/>
              </w:rPr>
              <w:t>1、评标总得分计算公式</w:t>
            </w:r>
          </w:p>
        </w:tc>
        <w:tc>
          <w:tcPr>
            <w:tcW w:w="5943" w:type="dxa"/>
            <w:vAlign w:val="center"/>
          </w:tcPr>
          <w:p w14:paraId="0C9C4AE3">
            <w:pPr>
              <w:spacing w:line="360" w:lineRule="auto"/>
              <w:rPr>
                <w:rFonts w:hint="eastAsia" w:ascii="宋体" w:hAnsi="宋体"/>
                <w:color w:val="auto"/>
                <w:szCs w:val="21"/>
                <w:highlight w:val="none"/>
              </w:rPr>
            </w:pPr>
            <w:r>
              <w:rPr>
                <w:rFonts w:ascii="宋体" w:hAnsi="宋体"/>
                <w:color w:val="auto"/>
                <w:szCs w:val="21"/>
                <w:highlight w:val="none"/>
              </w:rPr>
              <w:t>投标人的评标总得分＝F1＋F2＋F3</w:t>
            </w:r>
          </w:p>
          <w:p w14:paraId="62F197FE">
            <w:pPr>
              <w:spacing w:line="360" w:lineRule="auto"/>
              <w:rPr>
                <w:rFonts w:hint="eastAsia" w:ascii="宋体" w:hAnsi="宋体"/>
                <w:color w:val="auto"/>
                <w:szCs w:val="21"/>
                <w:highlight w:val="none"/>
              </w:rPr>
            </w:pPr>
            <w:r>
              <w:rPr>
                <w:rFonts w:ascii="宋体" w:hAnsi="宋体"/>
                <w:color w:val="auto"/>
                <w:szCs w:val="21"/>
                <w:highlight w:val="none"/>
              </w:rPr>
              <w:t>其中：</w:t>
            </w:r>
          </w:p>
          <w:p w14:paraId="6960C795">
            <w:pPr>
              <w:spacing w:line="360" w:lineRule="auto"/>
              <w:rPr>
                <w:rFonts w:hint="eastAsia" w:ascii="宋体" w:hAnsi="宋体"/>
                <w:color w:val="auto"/>
                <w:szCs w:val="21"/>
                <w:highlight w:val="none"/>
              </w:rPr>
            </w:pPr>
            <w:r>
              <w:rPr>
                <w:rFonts w:ascii="宋体" w:hAnsi="宋体"/>
                <w:color w:val="auto"/>
                <w:szCs w:val="21"/>
                <w:highlight w:val="none"/>
              </w:rPr>
              <w:t>①F1、F2、F3分别为投标报价、技术部分、</w:t>
            </w:r>
            <w:r>
              <w:rPr>
                <w:rFonts w:hint="eastAsia" w:ascii="宋体" w:hAnsi="宋体"/>
                <w:color w:val="auto"/>
                <w:szCs w:val="21"/>
                <w:highlight w:val="none"/>
              </w:rPr>
              <w:t>商务</w:t>
            </w:r>
            <w:r>
              <w:rPr>
                <w:rFonts w:ascii="宋体" w:hAnsi="宋体"/>
                <w:color w:val="auto"/>
                <w:szCs w:val="21"/>
                <w:highlight w:val="none"/>
              </w:rPr>
              <w:t>部分3项评分因素的汇总得分；</w:t>
            </w:r>
          </w:p>
        </w:tc>
      </w:tr>
      <w:tr w14:paraId="0845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973" w:type="dxa"/>
            <w:vMerge w:val="continue"/>
            <w:vAlign w:val="center"/>
          </w:tcPr>
          <w:p w14:paraId="5D0C6009">
            <w:pPr>
              <w:rPr>
                <w:rFonts w:hint="eastAsia" w:ascii="宋体" w:hAnsi="宋体"/>
                <w:color w:val="auto"/>
                <w:szCs w:val="21"/>
                <w:highlight w:val="none"/>
              </w:rPr>
            </w:pPr>
          </w:p>
        </w:tc>
        <w:tc>
          <w:tcPr>
            <w:tcW w:w="1276" w:type="dxa"/>
            <w:vMerge w:val="continue"/>
            <w:vAlign w:val="center"/>
          </w:tcPr>
          <w:p w14:paraId="3ECD13DC">
            <w:pPr>
              <w:rPr>
                <w:rFonts w:hint="eastAsia" w:ascii="宋体" w:hAnsi="宋体"/>
                <w:color w:val="auto"/>
                <w:szCs w:val="21"/>
                <w:highlight w:val="none"/>
              </w:rPr>
            </w:pPr>
          </w:p>
        </w:tc>
        <w:tc>
          <w:tcPr>
            <w:tcW w:w="1853" w:type="dxa"/>
            <w:vAlign w:val="center"/>
          </w:tcPr>
          <w:p w14:paraId="5C7FA98D">
            <w:pPr>
              <w:jc w:val="center"/>
              <w:rPr>
                <w:rFonts w:hint="eastAsia" w:ascii="宋体" w:hAnsi="宋体"/>
                <w:color w:val="auto"/>
                <w:szCs w:val="21"/>
                <w:highlight w:val="none"/>
              </w:rPr>
            </w:pPr>
            <w:r>
              <w:rPr>
                <w:rFonts w:hint="eastAsia" w:ascii="宋体" w:hAnsi="宋体"/>
                <w:color w:val="auto"/>
                <w:szCs w:val="21"/>
                <w:highlight w:val="none"/>
              </w:rPr>
              <w:t>2、评分因素分值及权重</w:t>
            </w:r>
          </w:p>
        </w:tc>
        <w:tc>
          <w:tcPr>
            <w:tcW w:w="5943" w:type="dxa"/>
            <w:vAlign w:val="center"/>
          </w:tcPr>
          <w:p w14:paraId="28985CC4">
            <w:pPr>
              <w:spacing w:line="360" w:lineRule="auto"/>
              <w:ind w:left="1258" w:hanging="1258"/>
              <w:rPr>
                <w:rFonts w:hint="eastAsia" w:ascii="宋体" w:hAnsi="宋体"/>
                <w:color w:val="auto"/>
                <w:szCs w:val="21"/>
                <w:highlight w:val="none"/>
              </w:rPr>
            </w:pPr>
            <w:r>
              <w:rPr>
                <w:rFonts w:ascii="宋体" w:hAnsi="宋体"/>
                <w:color w:val="auto"/>
                <w:szCs w:val="21"/>
                <w:highlight w:val="none"/>
              </w:rPr>
              <w:t>投标报价F1：满分</w:t>
            </w:r>
            <w:r>
              <w:rPr>
                <w:rFonts w:hint="eastAsia" w:ascii="宋体" w:hAnsi="宋体"/>
                <w:color w:val="auto"/>
                <w:szCs w:val="21"/>
                <w:highlight w:val="none"/>
              </w:rPr>
              <w:t>30</w:t>
            </w:r>
            <w:r>
              <w:rPr>
                <w:rFonts w:ascii="宋体" w:hAnsi="宋体"/>
                <w:color w:val="auto"/>
                <w:szCs w:val="21"/>
                <w:highlight w:val="none"/>
              </w:rPr>
              <w:t>分。</w:t>
            </w:r>
          </w:p>
          <w:p w14:paraId="782B9D2C">
            <w:pPr>
              <w:spacing w:line="360" w:lineRule="auto"/>
              <w:rPr>
                <w:rFonts w:hint="eastAsia" w:ascii="宋体" w:hAnsi="宋体"/>
                <w:color w:val="auto"/>
                <w:szCs w:val="21"/>
                <w:highlight w:val="none"/>
              </w:rPr>
            </w:pPr>
            <w:r>
              <w:rPr>
                <w:rFonts w:ascii="宋体" w:hAnsi="宋体"/>
                <w:color w:val="auto"/>
                <w:szCs w:val="21"/>
                <w:highlight w:val="none"/>
              </w:rPr>
              <w:t>技术部分F2：满分5</w:t>
            </w:r>
            <w:r>
              <w:rPr>
                <w:rFonts w:hint="eastAsia" w:ascii="宋体" w:hAnsi="宋体"/>
                <w:color w:val="auto"/>
                <w:szCs w:val="21"/>
                <w:highlight w:val="none"/>
              </w:rPr>
              <w:t>7</w:t>
            </w:r>
            <w:r>
              <w:rPr>
                <w:rFonts w:ascii="宋体" w:hAnsi="宋体"/>
                <w:color w:val="auto"/>
                <w:szCs w:val="21"/>
                <w:highlight w:val="none"/>
              </w:rPr>
              <w:t>分。</w:t>
            </w:r>
          </w:p>
          <w:p w14:paraId="3C39963F">
            <w:pPr>
              <w:spacing w:line="360" w:lineRule="auto"/>
              <w:rPr>
                <w:rFonts w:hint="eastAsia" w:ascii="宋体" w:hAnsi="宋体"/>
                <w:color w:val="auto"/>
                <w:szCs w:val="21"/>
                <w:highlight w:val="none"/>
              </w:rPr>
            </w:pPr>
            <w:r>
              <w:rPr>
                <w:rFonts w:hint="eastAsia" w:ascii="宋体" w:hAnsi="宋体"/>
                <w:color w:val="auto"/>
                <w:szCs w:val="21"/>
                <w:highlight w:val="none"/>
              </w:rPr>
              <w:t>商务部分</w:t>
            </w:r>
            <w:r>
              <w:rPr>
                <w:rFonts w:ascii="宋体" w:hAnsi="宋体"/>
                <w:color w:val="auto"/>
                <w:szCs w:val="21"/>
                <w:highlight w:val="none"/>
              </w:rPr>
              <w:t>F3：满分1</w:t>
            </w:r>
            <w:r>
              <w:rPr>
                <w:rFonts w:hint="eastAsia" w:ascii="宋体" w:hAnsi="宋体"/>
                <w:color w:val="auto"/>
                <w:szCs w:val="21"/>
                <w:highlight w:val="none"/>
              </w:rPr>
              <w:t>3</w:t>
            </w:r>
            <w:r>
              <w:rPr>
                <w:rFonts w:ascii="宋体" w:hAnsi="宋体"/>
                <w:color w:val="auto"/>
                <w:szCs w:val="21"/>
                <w:highlight w:val="none"/>
              </w:rPr>
              <w:t>分。</w:t>
            </w:r>
          </w:p>
        </w:tc>
      </w:tr>
      <w:tr w14:paraId="2E7C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continue"/>
            <w:vAlign w:val="center"/>
          </w:tcPr>
          <w:p w14:paraId="79BF0764">
            <w:pPr>
              <w:rPr>
                <w:rFonts w:hint="eastAsia" w:ascii="宋体" w:hAnsi="宋体"/>
                <w:color w:val="auto"/>
                <w:szCs w:val="21"/>
                <w:highlight w:val="none"/>
              </w:rPr>
            </w:pPr>
          </w:p>
        </w:tc>
        <w:tc>
          <w:tcPr>
            <w:tcW w:w="1276" w:type="dxa"/>
            <w:vMerge w:val="continue"/>
            <w:vAlign w:val="center"/>
          </w:tcPr>
          <w:p w14:paraId="308B8DD3">
            <w:pPr>
              <w:rPr>
                <w:rFonts w:hint="eastAsia" w:ascii="宋体" w:hAnsi="宋体"/>
                <w:color w:val="auto"/>
                <w:szCs w:val="21"/>
                <w:highlight w:val="none"/>
              </w:rPr>
            </w:pPr>
          </w:p>
        </w:tc>
        <w:tc>
          <w:tcPr>
            <w:tcW w:w="1853" w:type="dxa"/>
            <w:tcBorders>
              <w:bottom w:val="single" w:color="auto" w:sz="4" w:space="0"/>
            </w:tcBorders>
            <w:vAlign w:val="center"/>
          </w:tcPr>
          <w:p w14:paraId="74CCB349">
            <w:pPr>
              <w:jc w:val="center"/>
              <w:rPr>
                <w:rFonts w:hint="eastAsia" w:ascii="宋体" w:hAnsi="宋体"/>
                <w:color w:val="auto"/>
                <w:szCs w:val="21"/>
                <w:highlight w:val="none"/>
              </w:rPr>
            </w:pPr>
            <w:r>
              <w:rPr>
                <w:rFonts w:hint="eastAsia" w:ascii="宋体" w:hAnsi="宋体"/>
                <w:color w:val="auto"/>
                <w:szCs w:val="21"/>
                <w:highlight w:val="none"/>
              </w:rPr>
              <w:t>3、投标报价</w:t>
            </w:r>
          </w:p>
          <w:p w14:paraId="6C06FD57">
            <w:pPr>
              <w:jc w:val="center"/>
              <w:rPr>
                <w:rFonts w:hint="eastAsia" w:ascii="宋体" w:hAnsi="宋体"/>
                <w:color w:val="auto"/>
                <w:szCs w:val="21"/>
                <w:highlight w:val="none"/>
              </w:rPr>
            </w:pPr>
            <w:r>
              <w:rPr>
                <w:rFonts w:hint="eastAsia" w:ascii="宋体" w:hAnsi="宋体"/>
                <w:color w:val="auto"/>
                <w:szCs w:val="21"/>
                <w:highlight w:val="none"/>
              </w:rPr>
              <w:t>评审F1</w:t>
            </w:r>
          </w:p>
          <w:p w14:paraId="6331DC54">
            <w:pPr>
              <w:rPr>
                <w:rFonts w:hint="eastAsia" w:ascii="宋体" w:hAnsi="宋体"/>
                <w:color w:val="auto"/>
                <w:szCs w:val="21"/>
                <w:highlight w:val="none"/>
              </w:rPr>
            </w:pPr>
            <w:r>
              <w:rPr>
                <w:rFonts w:hint="eastAsia" w:ascii="宋体" w:hAnsi="宋体"/>
                <w:color w:val="auto"/>
                <w:szCs w:val="21"/>
                <w:highlight w:val="none"/>
              </w:rPr>
              <w:t>（满分</w:t>
            </w:r>
            <w:r>
              <w:rPr>
                <w:rFonts w:ascii="宋体" w:hAnsi="宋体"/>
                <w:color w:val="auto"/>
                <w:szCs w:val="21"/>
                <w:highlight w:val="none"/>
              </w:rPr>
              <w:t>3</w:t>
            </w:r>
            <w:r>
              <w:rPr>
                <w:rFonts w:hint="eastAsia" w:ascii="宋体" w:hAnsi="宋体"/>
                <w:color w:val="auto"/>
                <w:szCs w:val="21"/>
                <w:highlight w:val="none"/>
              </w:rPr>
              <w:t>0分）</w:t>
            </w:r>
          </w:p>
        </w:tc>
        <w:tc>
          <w:tcPr>
            <w:tcW w:w="5943" w:type="dxa"/>
            <w:tcBorders>
              <w:bottom w:val="single" w:color="auto" w:sz="4" w:space="0"/>
            </w:tcBorders>
            <w:vAlign w:val="center"/>
          </w:tcPr>
          <w:p w14:paraId="0ADE67BF">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投标报价计算公式= （评标基准价/该投标人报价）×30</w:t>
            </w:r>
          </w:p>
          <w:p w14:paraId="113ECD13">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即：</w:t>
            </w:r>
            <w:r>
              <w:rPr>
                <w:rFonts w:ascii="宋体" w:hAnsi="宋体"/>
                <w:color w:val="auto"/>
                <w:szCs w:val="21"/>
                <w:highlight w:val="none"/>
              </w:rPr>
              <w:t>F</w:t>
            </w:r>
            <w:r>
              <w:rPr>
                <w:rFonts w:hint="eastAsia" w:ascii="宋体" w:hAnsi="宋体"/>
                <w:color w:val="auto"/>
                <w:szCs w:val="21"/>
                <w:highlight w:val="none"/>
              </w:rPr>
              <w:t>1</w:t>
            </w:r>
            <w:r>
              <w:rPr>
                <w:rFonts w:ascii="宋体" w:hAnsi="宋体"/>
                <w:color w:val="auto"/>
                <w:szCs w:val="21"/>
                <w:highlight w:val="none"/>
              </w:rPr>
              <w:t>=[C/（B1，B2，…</w:t>
            </w:r>
            <w:r>
              <w:rPr>
                <w:rFonts w:hint="eastAsia" w:ascii="宋体" w:hAnsi="宋体"/>
                <w:color w:val="auto"/>
                <w:szCs w:val="21"/>
                <w:highlight w:val="none"/>
              </w:rPr>
              <w:t>，</w:t>
            </w:r>
            <w:r>
              <w:rPr>
                <w:rFonts w:ascii="宋体" w:hAnsi="宋体"/>
                <w:color w:val="auto"/>
                <w:szCs w:val="21"/>
                <w:highlight w:val="none"/>
              </w:rPr>
              <w:t>Bn）]×</w:t>
            </w:r>
            <w:r>
              <w:rPr>
                <w:rFonts w:hint="eastAsia" w:ascii="宋体" w:hAnsi="宋体"/>
                <w:color w:val="auto"/>
                <w:szCs w:val="21"/>
                <w:highlight w:val="none"/>
              </w:rPr>
              <w:t>30</w:t>
            </w:r>
          </w:p>
          <w:p w14:paraId="314E1EB4">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注：</w:t>
            </w:r>
            <w:r>
              <w:rPr>
                <w:rFonts w:ascii="宋体" w:hAnsi="宋体"/>
                <w:color w:val="auto"/>
                <w:szCs w:val="21"/>
                <w:highlight w:val="none"/>
              </w:rPr>
              <w:t>C为评标基准价，即</w:t>
            </w:r>
            <w:r>
              <w:rPr>
                <w:rFonts w:hint="eastAsia" w:ascii="宋体" w:hAnsi="宋体"/>
                <w:color w:val="auto"/>
                <w:szCs w:val="21"/>
                <w:highlight w:val="none"/>
              </w:rPr>
              <w:t>符合性</w:t>
            </w:r>
            <w:r>
              <w:rPr>
                <w:rFonts w:ascii="宋体" w:hAnsi="宋体"/>
                <w:color w:val="auto"/>
                <w:szCs w:val="21"/>
                <w:highlight w:val="none"/>
              </w:rPr>
              <w:t>审查合格</w:t>
            </w:r>
            <w:r>
              <w:rPr>
                <w:rFonts w:hint="eastAsia" w:ascii="宋体" w:hAnsi="宋体"/>
                <w:color w:val="auto"/>
                <w:szCs w:val="21"/>
                <w:highlight w:val="none"/>
              </w:rPr>
              <w:t>且投标价格最低</w:t>
            </w:r>
            <w:r>
              <w:rPr>
                <w:rFonts w:ascii="宋体" w:hAnsi="宋体"/>
                <w:color w:val="auto"/>
                <w:szCs w:val="21"/>
                <w:highlight w:val="none"/>
              </w:rPr>
              <w:t>的</w:t>
            </w:r>
            <w:r>
              <w:rPr>
                <w:rFonts w:hint="eastAsia" w:ascii="宋体" w:hAnsi="宋体"/>
                <w:color w:val="auto"/>
                <w:szCs w:val="21"/>
                <w:highlight w:val="none"/>
              </w:rPr>
              <w:t>有效</w:t>
            </w:r>
            <w:r>
              <w:rPr>
                <w:rFonts w:ascii="宋体" w:hAnsi="宋体"/>
                <w:color w:val="auto"/>
                <w:szCs w:val="21"/>
                <w:highlight w:val="none"/>
              </w:rPr>
              <w:t>投标报价；</w:t>
            </w:r>
          </w:p>
          <w:p w14:paraId="1CFCC03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B1，B2，…</w:t>
            </w:r>
            <w:r>
              <w:rPr>
                <w:rFonts w:hint="eastAsia" w:ascii="宋体" w:hAnsi="宋体"/>
                <w:color w:val="auto"/>
                <w:szCs w:val="21"/>
                <w:highlight w:val="none"/>
              </w:rPr>
              <w:t>，</w:t>
            </w:r>
            <w:r>
              <w:rPr>
                <w:rFonts w:ascii="宋体" w:hAnsi="宋体"/>
                <w:color w:val="auto"/>
                <w:szCs w:val="21"/>
                <w:highlight w:val="none"/>
              </w:rPr>
              <w:t>Bn为第n个</w:t>
            </w:r>
            <w:r>
              <w:rPr>
                <w:rFonts w:hint="eastAsia" w:ascii="宋体" w:hAnsi="宋体"/>
                <w:color w:val="auto"/>
                <w:szCs w:val="21"/>
                <w:highlight w:val="none"/>
              </w:rPr>
              <w:t>符合性</w:t>
            </w:r>
            <w:r>
              <w:rPr>
                <w:rFonts w:ascii="宋体" w:hAnsi="宋体"/>
                <w:color w:val="auto"/>
                <w:szCs w:val="21"/>
                <w:highlight w:val="none"/>
              </w:rPr>
              <w:t>审查合格的有效投标报价。</w:t>
            </w:r>
          </w:p>
          <w:p w14:paraId="27663214">
            <w:pPr>
              <w:spacing w:line="360" w:lineRule="auto"/>
              <w:rPr>
                <w:rFonts w:hint="eastAsia" w:ascii="宋体" w:hAnsi="宋体"/>
                <w:color w:val="auto"/>
                <w:szCs w:val="21"/>
                <w:highlight w:val="none"/>
              </w:rPr>
            </w:pPr>
            <w:r>
              <w:rPr>
                <w:rFonts w:hint="eastAsia" w:ascii="宋体" w:hAnsi="宋体"/>
                <w:color w:val="auto"/>
                <w:szCs w:val="21"/>
                <w:highlight w:val="none"/>
              </w:rPr>
              <w:t>注：1、在计算投标报价得分时，对小型或微型企业产品（货物或服务）的价格给予</w:t>
            </w:r>
            <w:r>
              <w:rPr>
                <w:rFonts w:ascii="宋体" w:hAnsi="宋体"/>
                <w:color w:val="auto"/>
                <w:szCs w:val="21"/>
                <w:highlight w:val="none"/>
              </w:rPr>
              <w:t>10</w:t>
            </w:r>
            <w:r>
              <w:rPr>
                <w:rFonts w:hint="eastAsia" w:ascii="宋体" w:hAnsi="宋体"/>
                <w:color w:val="auto"/>
                <w:szCs w:val="21"/>
                <w:highlight w:val="none"/>
              </w:rPr>
              <w:t>%的扣除。</w:t>
            </w:r>
          </w:p>
          <w:p w14:paraId="169C0308">
            <w:pPr>
              <w:spacing w:line="360" w:lineRule="auto"/>
              <w:rPr>
                <w:rFonts w:hint="eastAsia" w:ascii="宋体" w:hAnsi="宋体"/>
                <w:color w:val="auto"/>
                <w:szCs w:val="21"/>
                <w:highlight w:val="none"/>
              </w:rPr>
            </w:pPr>
            <w:r>
              <w:rPr>
                <w:rFonts w:hint="eastAsia" w:ascii="宋体" w:hAnsi="宋体"/>
                <w:color w:val="auto"/>
                <w:szCs w:val="21"/>
                <w:highlight w:val="none"/>
              </w:rPr>
              <w:t>2、残疾人福利性单位、监狱企业视同小型、微型企业。</w:t>
            </w:r>
          </w:p>
          <w:p w14:paraId="7A2D149B">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3、监狱企业或残疾人福利性单位属于小型、微型企业的，不重复享受政策，只进行一次价格扣除。</w:t>
            </w:r>
          </w:p>
        </w:tc>
      </w:tr>
      <w:tr w14:paraId="778C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restart"/>
            <w:vAlign w:val="center"/>
          </w:tcPr>
          <w:p w14:paraId="799B12EC">
            <w:pPr>
              <w:jc w:val="center"/>
              <w:rPr>
                <w:rFonts w:hint="eastAsia" w:ascii="宋体" w:hAnsi="宋体"/>
                <w:color w:val="auto"/>
                <w:szCs w:val="21"/>
                <w:highlight w:val="none"/>
              </w:rPr>
            </w:pPr>
            <w:r>
              <w:rPr>
                <w:rFonts w:hint="eastAsia" w:ascii="宋体" w:hAnsi="宋体"/>
                <w:color w:val="auto"/>
                <w:szCs w:val="21"/>
                <w:highlight w:val="none"/>
              </w:rPr>
              <w:t>3.3</w:t>
            </w:r>
          </w:p>
        </w:tc>
        <w:tc>
          <w:tcPr>
            <w:tcW w:w="1276" w:type="dxa"/>
            <w:vMerge w:val="restart"/>
            <w:vAlign w:val="center"/>
          </w:tcPr>
          <w:p w14:paraId="4D31DD5F">
            <w:pPr>
              <w:rPr>
                <w:rFonts w:hint="eastAsia" w:ascii="宋体" w:hAnsi="宋体"/>
                <w:color w:val="auto"/>
                <w:szCs w:val="21"/>
                <w:highlight w:val="none"/>
              </w:rPr>
            </w:pPr>
            <w:r>
              <w:rPr>
                <w:rFonts w:hint="eastAsia" w:ascii="宋体" w:hAnsi="宋体"/>
                <w:color w:val="auto"/>
                <w:szCs w:val="21"/>
                <w:highlight w:val="none"/>
              </w:rPr>
              <w:t>详细评审标准</w:t>
            </w:r>
          </w:p>
        </w:tc>
        <w:tc>
          <w:tcPr>
            <w:tcW w:w="1853" w:type="dxa"/>
            <w:vMerge w:val="restart"/>
            <w:vAlign w:val="center"/>
          </w:tcPr>
          <w:p w14:paraId="0D06663F">
            <w:pPr>
              <w:jc w:val="center"/>
              <w:rPr>
                <w:rFonts w:hint="eastAsia" w:ascii="宋体" w:hAnsi="宋体"/>
                <w:color w:val="auto"/>
                <w:szCs w:val="21"/>
                <w:highlight w:val="none"/>
              </w:rPr>
            </w:pPr>
            <w:r>
              <w:rPr>
                <w:rFonts w:hint="eastAsia" w:ascii="宋体" w:hAnsi="宋体"/>
                <w:color w:val="auto"/>
                <w:szCs w:val="21"/>
                <w:highlight w:val="none"/>
              </w:rPr>
              <w:t>4、技术部分</w:t>
            </w:r>
          </w:p>
          <w:p w14:paraId="498D4578">
            <w:pPr>
              <w:jc w:val="center"/>
              <w:rPr>
                <w:rFonts w:hint="eastAsia" w:ascii="宋体" w:hAnsi="宋体"/>
                <w:color w:val="auto"/>
                <w:szCs w:val="21"/>
                <w:highlight w:val="none"/>
              </w:rPr>
            </w:pPr>
            <w:r>
              <w:rPr>
                <w:rFonts w:hint="eastAsia" w:ascii="宋体" w:hAnsi="宋体"/>
                <w:color w:val="auto"/>
                <w:szCs w:val="21"/>
                <w:highlight w:val="none"/>
              </w:rPr>
              <w:t>评审F2</w:t>
            </w:r>
          </w:p>
          <w:p w14:paraId="4BAEEA7A">
            <w:pPr>
              <w:jc w:val="center"/>
              <w:rPr>
                <w:rFonts w:hint="eastAsia" w:ascii="宋体" w:hAnsi="宋体"/>
                <w:color w:val="auto"/>
                <w:szCs w:val="21"/>
                <w:highlight w:val="none"/>
              </w:rPr>
            </w:pPr>
            <w:r>
              <w:rPr>
                <w:rFonts w:hint="eastAsia" w:ascii="宋体" w:hAnsi="宋体"/>
                <w:color w:val="auto"/>
                <w:szCs w:val="21"/>
                <w:highlight w:val="none"/>
              </w:rPr>
              <w:t>（满分57分）</w:t>
            </w:r>
          </w:p>
        </w:tc>
        <w:tc>
          <w:tcPr>
            <w:tcW w:w="5943" w:type="dxa"/>
            <w:vAlign w:val="center"/>
          </w:tcPr>
          <w:p w14:paraId="10663B04">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1、技术指标响应评分（</w:t>
            </w:r>
            <w:r>
              <w:rPr>
                <w:rFonts w:hint="eastAsia" w:ascii="宋体" w:hAnsi="宋体"/>
                <w:b/>
                <w:bCs/>
                <w:color w:val="auto"/>
                <w:szCs w:val="21"/>
                <w:highlight w:val="none"/>
              </w:rPr>
              <w:t>满分48分）</w:t>
            </w:r>
          </w:p>
          <w:p w14:paraId="3CF2C31F">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根据投标文件对招标文件第五章 项目需求及技术要求</w:t>
            </w:r>
            <w:r>
              <w:rPr>
                <w:rFonts w:hint="eastAsia"/>
                <w:color w:val="auto"/>
                <w:highlight w:val="none"/>
              </w:rPr>
              <w:t xml:space="preserve"> </w:t>
            </w:r>
            <w:r>
              <w:rPr>
                <w:rFonts w:hint="eastAsia" w:ascii="宋体" w:hAnsi="宋体"/>
                <w:color w:val="auto"/>
                <w:szCs w:val="21"/>
                <w:highlight w:val="none"/>
              </w:rPr>
              <w:t>二、技术要求中技术指标的响应程度进行评分，</w:t>
            </w:r>
            <w:r>
              <w:rPr>
                <w:rFonts w:hint="eastAsia" w:ascii="宋体" w:hAnsi="宋体"/>
                <w:color w:val="auto"/>
                <w:szCs w:val="21"/>
                <w:highlight w:val="none"/>
                <w:lang w:val="en-US" w:eastAsia="zh-CN"/>
              </w:rPr>
              <w:t>总共有23项设备参数，</w:t>
            </w:r>
            <w:r>
              <w:rPr>
                <w:rFonts w:hint="eastAsia" w:ascii="宋体" w:hAnsi="宋体"/>
                <w:color w:val="auto"/>
                <w:highlight w:val="none"/>
              </w:rPr>
              <w:t>按下列标准进行评审</w:t>
            </w:r>
            <w:r>
              <w:rPr>
                <w:rFonts w:hint="eastAsia" w:ascii="宋体" w:hAnsi="宋体"/>
                <w:color w:val="auto"/>
                <w:szCs w:val="21"/>
                <w:highlight w:val="none"/>
              </w:rPr>
              <w:t>：</w:t>
            </w:r>
          </w:p>
          <w:p w14:paraId="452ACF1A">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1）技术要求中</w:t>
            </w:r>
            <w:r>
              <w:rPr>
                <w:rFonts w:hint="eastAsia" w:ascii="宋体" w:hAnsi="宋体"/>
                <w:b/>
                <w:bCs/>
                <w:color w:val="auto"/>
                <w:szCs w:val="21"/>
                <w:highlight w:val="none"/>
                <w:lang w:val="en-US" w:eastAsia="zh-CN"/>
              </w:rPr>
              <w:t>（一）运动心肺功能测试系统（包括肺功能）</w:t>
            </w:r>
            <w:r>
              <w:rPr>
                <w:rFonts w:hint="eastAsia" w:ascii="宋体" w:hAnsi="宋体"/>
                <w:color w:val="auto"/>
                <w:szCs w:val="21"/>
                <w:highlight w:val="none"/>
                <w:lang w:val="en-US" w:eastAsia="zh-CN"/>
              </w:rPr>
              <w:t>技术参数完全满足招标文件要求的得6分，其中标注“*”为重要技术参数，完全满足招标文件要求的得3分，否则不得分；未标注“*”技术参数完全满足招标文件要求的得3分，否则不得分。</w:t>
            </w:r>
          </w:p>
          <w:p w14:paraId="0B982AB4">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2）技术要求中</w:t>
            </w:r>
            <w:r>
              <w:rPr>
                <w:rFonts w:hint="eastAsia" w:ascii="宋体" w:hAnsi="宋体"/>
                <w:b/>
                <w:bCs/>
                <w:color w:val="auto"/>
                <w:szCs w:val="21"/>
                <w:highlight w:val="none"/>
                <w:lang w:val="en-US" w:eastAsia="zh-CN"/>
              </w:rPr>
              <w:t>（二）6分钟步行试验系统（多导）</w:t>
            </w:r>
            <w:r>
              <w:rPr>
                <w:rFonts w:hint="eastAsia" w:ascii="宋体" w:hAnsi="宋体"/>
                <w:color w:val="auto"/>
                <w:szCs w:val="21"/>
                <w:highlight w:val="none"/>
                <w:lang w:val="en-US" w:eastAsia="zh-CN"/>
              </w:rPr>
              <w:t>技术参数完全满足招标文件要求的得3分，否则不得分。</w:t>
            </w:r>
          </w:p>
          <w:p w14:paraId="6EBD42E0">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3）技术要求中</w:t>
            </w:r>
            <w:r>
              <w:rPr>
                <w:rFonts w:hint="eastAsia" w:ascii="宋体" w:hAnsi="宋体"/>
                <w:b/>
                <w:bCs/>
                <w:color w:val="auto"/>
                <w:szCs w:val="21"/>
                <w:highlight w:val="none"/>
                <w:lang w:val="en-US" w:eastAsia="zh-CN"/>
              </w:rPr>
              <w:t>（三）呼气分析仪（一氧化氮分析仪）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0DDBA147">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4）技术要求中</w:t>
            </w:r>
            <w:r>
              <w:rPr>
                <w:rFonts w:hint="eastAsia" w:ascii="宋体" w:hAnsi="宋体"/>
                <w:b/>
                <w:bCs/>
                <w:color w:val="auto"/>
                <w:szCs w:val="21"/>
                <w:highlight w:val="none"/>
                <w:lang w:val="en-US" w:eastAsia="zh-CN"/>
              </w:rPr>
              <w:t>（四）人体成分测试仪</w:t>
            </w:r>
            <w:r>
              <w:rPr>
                <w:rFonts w:hint="eastAsia" w:ascii="宋体" w:hAnsi="宋体"/>
                <w:color w:val="auto"/>
                <w:szCs w:val="21"/>
                <w:highlight w:val="none"/>
                <w:lang w:val="en-US" w:eastAsia="zh-CN"/>
              </w:rPr>
              <w:t>技术参数完全满足招标文件要求的得3分，其中标注“*”为重要技术参数，完全满足招标文件要求的得1.5分，否则不得分；未标注“*”技术参数完全满足招标文件要求的得1.5分，否则不得分。</w:t>
            </w:r>
          </w:p>
          <w:p w14:paraId="5000F389">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5）技术要求中</w:t>
            </w:r>
            <w:r>
              <w:rPr>
                <w:rFonts w:hint="eastAsia" w:ascii="宋体" w:hAnsi="宋体"/>
                <w:b/>
                <w:bCs/>
                <w:color w:val="auto"/>
                <w:szCs w:val="21"/>
                <w:highlight w:val="none"/>
                <w:lang w:val="en-US" w:eastAsia="zh-CN"/>
              </w:rPr>
              <w:t>（五）坐位功率自行车（含血压、血氧）</w:t>
            </w:r>
            <w:r>
              <w:rPr>
                <w:rFonts w:hint="eastAsia" w:ascii="宋体" w:hAnsi="宋体"/>
                <w:color w:val="auto"/>
                <w:szCs w:val="21"/>
                <w:highlight w:val="none"/>
                <w:lang w:val="en-US" w:eastAsia="zh-CN"/>
              </w:rPr>
              <w:t>技术参数完全满足招标文件要求的得3分，其中标注“*”为重要技术参数，完全满足招标文件要求的得1分，否则不得分；未标注“*”技术参数完全满足招标文件要求的得2分，否则不得分。</w:t>
            </w:r>
          </w:p>
          <w:p w14:paraId="2CC9D4BB">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6）技术要求中</w:t>
            </w:r>
            <w:r>
              <w:rPr>
                <w:rFonts w:hint="eastAsia" w:ascii="宋体" w:hAnsi="宋体"/>
                <w:b/>
                <w:bCs/>
                <w:color w:val="auto"/>
                <w:szCs w:val="21"/>
                <w:highlight w:val="none"/>
                <w:lang w:val="en-US" w:eastAsia="zh-CN"/>
              </w:rPr>
              <w:t>（六）斜躺式功率自行车</w:t>
            </w:r>
            <w:r>
              <w:rPr>
                <w:rFonts w:hint="eastAsia" w:ascii="宋体" w:hAnsi="宋体"/>
                <w:color w:val="auto"/>
                <w:szCs w:val="21"/>
                <w:highlight w:val="none"/>
                <w:lang w:val="en-US" w:eastAsia="zh-CN"/>
              </w:rPr>
              <w:t>技术参数完全满足招标文件要求的得2分，其中标注“*”为重要技术参数，完全满足招标文件要求的得0.5分，否则不得分；未标注“*”技术参数完全满足招标文件要求的得1.5分，否则不得分。</w:t>
            </w:r>
          </w:p>
          <w:p w14:paraId="2D189EC4">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7）技术要求中</w:t>
            </w:r>
            <w:r>
              <w:rPr>
                <w:rFonts w:hint="eastAsia" w:ascii="宋体" w:hAnsi="宋体"/>
                <w:b/>
                <w:bCs/>
                <w:color w:val="auto"/>
                <w:szCs w:val="21"/>
                <w:highlight w:val="none"/>
                <w:lang w:val="en-US" w:eastAsia="zh-CN"/>
              </w:rPr>
              <w:t>（八）上肢滑轮训练系统、（十）多功能训练长椅（带滑轮系统）、（十二）呼吸机训练器（阀值负荷型）、（十三）呼吸机训练器（容量型）、（十八）血氧监测仪、快速血糖监测仪、（二十）等离子空气消毒机（移动式）、（二十三）急救车</w:t>
            </w:r>
            <w:r>
              <w:rPr>
                <w:rFonts w:hint="eastAsia" w:ascii="宋体" w:hAnsi="宋体"/>
                <w:b w:val="0"/>
                <w:bCs w:val="0"/>
                <w:color w:val="auto"/>
                <w:szCs w:val="21"/>
                <w:highlight w:val="none"/>
                <w:lang w:val="en-US" w:eastAsia="zh-CN"/>
              </w:rPr>
              <w:t>共计7项设备参数，7项设备</w:t>
            </w:r>
            <w:r>
              <w:rPr>
                <w:rFonts w:hint="eastAsia" w:ascii="宋体" w:hAnsi="宋体"/>
                <w:color w:val="auto"/>
                <w:szCs w:val="21"/>
                <w:highlight w:val="none"/>
                <w:lang w:val="en-US" w:eastAsia="zh-CN"/>
              </w:rPr>
              <w:t>技术参数完全满足招标文件要求的得7分，每出现1项设备技术参数不完全满足招标文件要求的扣1分。</w:t>
            </w:r>
          </w:p>
          <w:p w14:paraId="25D6887B">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8）技术要求中</w:t>
            </w:r>
            <w:r>
              <w:rPr>
                <w:rFonts w:hint="eastAsia" w:ascii="宋体" w:hAnsi="宋体"/>
                <w:b/>
                <w:bCs/>
                <w:color w:val="auto"/>
                <w:szCs w:val="21"/>
                <w:highlight w:val="none"/>
                <w:lang w:val="en-US" w:eastAsia="zh-CN"/>
              </w:rPr>
              <w:t>（七）坐式液压抗阻划船机、（九）下肢抗阻训练器</w:t>
            </w:r>
            <w:r>
              <w:rPr>
                <w:rFonts w:hint="eastAsia" w:ascii="宋体" w:hAnsi="宋体"/>
                <w:b w:val="0"/>
                <w:bCs w:val="0"/>
                <w:color w:val="auto"/>
                <w:szCs w:val="21"/>
                <w:highlight w:val="none"/>
                <w:lang w:val="en-US" w:eastAsia="zh-CN"/>
              </w:rPr>
              <w:t>共计2项设备参数，2项设备</w:t>
            </w:r>
            <w:r>
              <w:rPr>
                <w:rFonts w:hint="eastAsia" w:ascii="宋体" w:hAnsi="宋体"/>
                <w:color w:val="auto"/>
                <w:szCs w:val="21"/>
                <w:highlight w:val="none"/>
                <w:lang w:val="en-US" w:eastAsia="zh-CN"/>
              </w:rPr>
              <w:t>技术参数完全满足招标文件要求的得3分，每出现1项设备技术参数不完全满足招标文件要求的扣1.5分。</w:t>
            </w:r>
          </w:p>
          <w:p w14:paraId="1380130C">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9）技术要求中</w:t>
            </w:r>
            <w:r>
              <w:rPr>
                <w:rFonts w:hint="eastAsia" w:ascii="宋体" w:hAnsi="宋体" w:eastAsia="宋体" w:cs="宋体"/>
                <w:b/>
                <w:bCs/>
                <w:color w:val="auto"/>
                <w:kern w:val="2"/>
                <w:sz w:val="21"/>
                <w:szCs w:val="21"/>
                <w:highlight w:val="none"/>
                <w:lang w:val="en-US" w:eastAsia="zh-CN" w:bidi="ar-SA"/>
              </w:rPr>
              <w:t>（十一）呼吸训练器（高频振荡排痰仪)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0C9DD78A">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10）技术要求中</w:t>
            </w:r>
            <w:r>
              <w:rPr>
                <w:rFonts w:hint="eastAsia" w:ascii="宋体" w:hAnsi="宋体"/>
                <w:b/>
                <w:bCs/>
                <w:color w:val="auto"/>
                <w:szCs w:val="21"/>
                <w:highlight w:val="none"/>
                <w:lang w:val="en-US" w:eastAsia="zh-CN"/>
              </w:rPr>
              <w:t>（十四）高流量湿化氧疗仪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4AC4ABD8">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11）技术要求中</w:t>
            </w:r>
            <w:r>
              <w:rPr>
                <w:rFonts w:hint="eastAsia" w:ascii="宋体" w:hAnsi="宋体"/>
                <w:b/>
                <w:bCs/>
                <w:color w:val="auto"/>
                <w:szCs w:val="21"/>
                <w:highlight w:val="none"/>
                <w:lang w:val="en-US" w:eastAsia="zh-CN"/>
              </w:rPr>
              <w:t>（十五）无创呼吸机</w:t>
            </w:r>
            <w:r>
              <w:rPr>
                <w:rFonts w:hint="eastAsia" w:ascii="宋体" w:hAnsi="宋体"/>
                <w:color w:val="auto"/>
                <w:szCs w:val="21"/>
                <w:highlight w:val="none"/>
                <w:lang w:val="en-US" w:eastAsia="zh-CN"/>
              </w:rPr>
              <w:t>技术参数完全满足招标文件要求的得3分，其中标注“*”为重要技术参数，完全满足招标文件要求的得1.5分，否则不得分；未标注“*”技术参数完全满足招标文件要求的得1.5分，否则不得分。</w:t>
            </w:r>
          </w:p>
          <w:p w14:paraId="785D6355">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12）技术要求中</w:t>
            </w:r>
            <w:r>
              <w:rPr>
                <w:rFonts w:hint="eastAsia" w:ascii="宋体" w:hAnsi="宋体"/>
                <w:b/>
                <w:bCs/>
                <w:color w:val="auto"/>
                <w:szCs w:val="21"/>
                <w:highlight w:val="none"/>
                <w:lang w:val="en-US" w:eastAsia="zh-CN"/>
              </w:rPr>
              <w:t>（十六）除颤监护仪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650A272E">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13）技术要求中</w:t>
            </w:r>
            <w:r>
              <w:rPr>
                <w:rFonts w:hint="eastAsia" w:ascii="宋体" w:hAnsi="宋体"/>
                <w:b/>
                <w:bCs/>
                <w:color w:val="auto"/>
                <w:szCs w:val="21"/>
                <w:highlight w:val="none"/>
                <w:lang w:val="en-US" w:eastAsia="zh-CN"/>
              </w:rPr>
              <w:t>（十九）体外反搏仪（三气囊式）</w:t>
            </w:r>
            <w:r>
              <w:rPr>
                <w:rFonts w:hint="eastAsia" w:ascii="宋体" w:hAnsi="宋体"/>
                <w:color w:val="auto"/>
                <w:szCs w:val="21"/>
                <w:highlight w:val="none"/>
                <w:lang w:val="en-US" w:eastAsia="zh-CN"/>
              </w:rPr>
              <w:t>技术参数完全满足招标文件要求的得4分，否则不得分。</w:t>
            </w:r>
          </w:p>
          <w:p w14:paraId="26194CAC">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14）技术要求中</w:t>
            </w:r>
            <w:r>
              <w:rPr>
                <w:rFonts w:hint="eastAsia" w:ascii="宋体" w:hAnsi="宋体" w:eastAsia="宋体" w:cs="宋体"/>
                <w:b/>
                <w:bCs/>
                <w:color w:val="auto"/>
                <w:kern w:val="2"/>
                <w:sz w:val="21"/>
                <w:szCs w:val="21"/>
                <w:highlight w:val="none"/>
                <w:lang w:val="en-US" w:eastAsia="zh-CN" w:bidi="ar-SA"/>
              </w:rPr>
              <w:t>（二十一）呼吸神经肌肉刺激仪</w:t>
            </w:r>
            <w:r>
              <w:rPr>
                <w:rFonts w:hint="eastAsia" w:ascii="宋体" w:hAnsi="宋体"/>
                <w:color w:val="auto"/>
                <w:szCs w:val="21"/>
                <w:highlight w:val="none"/>
                <w:lang w:val="en-US" w:eastAsia="zh-CN"/>
              </w:rPr>
              <w:t>技术参数完全满足招标文件要求的得2分，其中标注“*”为重要技术参数，完全满足招标文件要求的得0.5分，否则不得分；未标注“*”技术参数完全满足招标文件要求的得1.5分，否则不得分。</w:t>
            </w:r>
          </w:p>
          <w:p w14:paraId="5F5CC89D">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15）技术要求中</w:t>
            </w:r>
            <w:r>
              <w:rPr>
                <w:rFonts w:hint="eastAsia" w:ascii="宋体" w:hAnsi="宋体" w:eastAsia="宋体" w:cs="宋体"/>
                <w:b/>
                <w:bCs/>
                <w:color w:val="auto"/>
                <w:kern w:val="2"/>
                <w:sz w:val="21"/>
                <w:szCs w:val="21"/>
                <w:highlight w:val="none"/>
                <w:lang w:val="en-US" w:eastAsia="zh-CN" w:bidi="ar-SA"/>
              </w:rPr>
              <w:t>（十七）心电图机、（二十二）动态血压</w:t>
            </w:r>
            <w:r>
              <w:rPr>
                <w:rFonts w:hint="eastAsia" w:ascii="宋体" w:hAnsi="宋体"/>
                <w:b w:val="0"/>
                <w:bCs w:val="0"/>
                <w:color w:val="auto"/>
                <w:szCs w:val="21"/>
                <w:highlight w:val="none"/>
                <w:lang w:val="en-US" w:eastAsia="zh-CN"/>
              </w:rPr>
              <w:t>共计2项设备参数，2项设备</w:t>
            </w:r>
            <w:r>
              <w:rPr>
                <w:rFonts w:hint="eastAsia" w:ascii="宋体" w:hAnsi="宋体"/>
                <w:color w:val="auto"/>
                <w:szCs w:val="21"/>
                <w:highlight w:val="none"/>
                <w:lang w:val="en-US" w:eastAsia="zh-CN"/>
              </w:rPr>
              <w:t>技术参数完全满足招标文件要求的得4分，每出现1项设备技术参数不完全满足招标文件要求的扣2分。</w:t>
            </w:r>
          </w:p>
          <w:p w14:paraId="0D00ECE6">
            <w:pPr>
              <w:spacing w:line="360" w:lineRule="auto"/>
              <w:jc w:val="left"/>
              <w:rPr>
                <w:rFonts w:hint="eastAsia" w:ascii="宋体" w:hAnsi="宋体"/>
                <w:color w:val="auto"/>
                <w:szCs w:val="21"/>
                <w:highlight w:val="none"/>
              </w:rPr>
            </w:pPr>
            <w:r>
              <w:rPr>
                <w:rFonts w:hint="eastAsia" w:ascii="宋体" w:hAnsi="宋体"/>
                <w:color w:val="auto"/>
                <w:szCs w:val="21"/>
                <w:highlight w:val="none"/>
              </w:rPr>
              <w:t>注：此项评审依据《技术规格偏离表》进行评审，未提供技术支持资料证明其技术参数满足招标文件的，视为负偏离。</w:t>
            </w:r>
          </w:p>
        </w:tc>
      </w:tr>
      <w:tr w14:paraId="68A8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continue"/>
            <w:vAlign w:val="center"/>
          </w:tcPr>
          <w:p w14:paraId="746B055C">
            <w:pPr>
              <w:jc w:val="center"/>
              <w:rPr>
                <w:rFonts w:hint="eastAsia" w:ascii="宋体" w:hAnsi="宋体"/>
                <w:color w:val="auto"/>
                <w:szCs w:val="21"/>
                <w:highlight w:val="none"/>
              </w:rPr>
            </w:pPr>
          </w:p>
        </w:tc>
        <w:tc>
          <w:tcPr>
            <w:tcW w:w="1276" w:type="dxa"/>
            <w:vMerge w:val="continue"/>
            <w:vAlign w:val="center"/>
          </w:tcPr>
          <w:p w14:paraId="48B98798">
            <w:pPr>
              <w:rPr>
                <w:rFonts w:hint="eastAsia" w:ascii="宋体" w:hAnsi="宋体"/>
                <w:color w:val="auto"/>
                <w:szCs w:val="21"/>
                <w:highlight w:val="none"/>
              </w:rPr>
            </w:pPr>
          </w:p>
        </w:tc>
        <w:tc>
          <w:tcPr>
            <w:tcW w:w="1853" w:type="dxa"/>
            <w:vMerge w:val="continue"/>
            <w:vAlign w:val="center"/>
          </w:tcPr>
          <w:p w14:paraId="10939EB9">
            <w:pPr>
              <w:jc w:val="center"/>
              <w:rPr>
                <w:rFonts w:hint="eastAsia" w:ascii="宋体" w:hAnsi="宋体"/>
                <w:color w:val="auto"/>
                <w:szCs w:val="21"/>
                <w:highlight w:val="none"/>
              </w:rPr>
            </w:pPr>
          </w:p>
        </w:tc>
        <w:tc>
          <w:tcPr>
            <w:tcW w:w="5943" w:type="dxa"/>
            <w:vAlign w:val="center"/>
          </w:tcPr>
          <w:p w14:paraId="0A3CE425">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2、项目实施方案（满分8分）</w:t>
            </w:r>
          </w:p>
          <w:p w14:paraId="30A6B77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针对投标人提供的项目实施方案进行评审，项目实施方案中至少包含（1）设备运输及保护方案（包括运输路线规划、运输工具选择、针对设备的特性制定设备保护措施、设备的装卸及加固）；（</w:t>
            </w:r>
            <w:r>
              <w:rPr>
                <w:rFonts w:ascii="宋体" w:hAnsi="宋体"/>
                <w:color w:val="auto"/>
                <w:szCs w:val="21"/>
                <w:highlight w:val="none"/>
              </w:rPr>
              <w:t>2</w:t>
            </w:r>
            <w:r>
              <w:rPr>
                <w:rFonts w:hint="eastAsia" w:ascii="宋体" w:hAnsi="宋体"/>
                <w:color w:val="auto"/>
                <w:szCs w:val="21"/>
                <w:highlight w:val="none"/>
              </w:rPr>
              <w:t>）设备安装调试方案（包括设备安装工序、安全措施、调试方法）；（</w:t>
            </w:r>
            <w:r>
              <w:rPr>
                <w:rFonts w:ascii="宋体" w:hAnsi="宋体"/>
                <w:color w:val="auto"/>
                <w:szCs w:val="21"/>
                <w:highlight w:val="none"/>
              </w:rPr>
              <w:t>3</w:t>
            </w:r>
            <w:r>
              <w:rPr>
                <w:rFonts w:hint="eastAsia" w:ascii="宋体" w:hAnsi="宋体"/>
                <w:color w:val="auto"/>
                <w:szCs w:val="21"/>
                <w:highlight w:val="none"/>
              </w:rPr>
              <w:t>）质量保证承诺及措施（包括质量承诺、违约惩罚措施、质量管理制度）;(4)应急预案及验收方案（包括项目实施过程中可能遇到的各种风险、突发事件紧急事件处置、验收程序、不合格品处理、验收资料收集归档）。以上4项内容每项2分，满分8分，每出现一项内容缺漏的扣2分;每有一项存在内容缺陷扣1分。</w:t>
            </w:r>
          </w:p>
          <w:p w14:paraId="40C88BCD">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r w14:paraId="75BB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973" w:type="dxa"/>
            <w:vMerge w:val="continue"/>
            <w:vAlign w:val="center"/>
          </w:tcPr>
          <w:p w14:paraId="1284BD8C">
            <w:pPr>
              <w:jc w:val="center"/>
              <w:rPr>
                <w:rFonts w:hint="eastAsia" w:ascii="宋体" w:hAnsi="宋体"/>
                <w:color w:val="auto"/>
                <w:szCs w:val="21"/>
                <w:highlight w:val="none"/>
              </w:rPr>
            </w:pPr>
          </w:p>
        </w:tc>
        <w:tc>
          <w:tcPr>
            <w:tcW w:w="1276" w:type="dxa"/>
            <w:vMerge w:val="continue"/>
            <w:vAlign w:val="center"/>
          </w:tcPr>
          <w:p w14:paraId="09686A38">
            <w:pPr>
              <w:rPr>
                <w:rFonts w:hint="eastAsia" w:ascii="宋体" w:hAnsi="宋体"/>
                <w:color w:val="auto"/>
                <w:szCs w:val="21"/>
                <w:highlight w:val="none"/>
              </w:rPr>
            </w:pPr>
          </w:p>
        </w:tc>
        <w:tc>
          <w:tcPr>
            <w:tcW w:w="1853" w:type="dxa"/>
            <w:vMerge w:val="continue"/>
            <w:vAlign w:val="center"/>
          </w:tcPr>
          <w:p w14:paraId="05BFAF54">
            <w:pPr>
              <w:jc w:val="center"/>
              <w:rPr>
                <w:rFonts w:hint="eastAsia" w:ascii="宋体" w:hAnsi="宋体"/>
                <w:color w:val="auto"/>
                <w:szCs w:val="21"/>
                <w:highlight w:val="none"/>
              </w:rPr>
            </w:pPr>
          </w:p>
        </w:tc>
        <w:tc>
          <w:tcPr>
            <w:tcW w:w="5943" w:type="dxa"/>
            <w:vAlign w:val="center"/>
          </w:tcPr>
          <w:p w14:paraId="25B5D9D9">
            <w:pPr>
              <w:spacing w:line="360" w:lineRule="auto"/>
              <w:jc w:val="left"/>
              <w:rPr>
                <w:rFonts w:hint="eastAsia"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、节能、环保产品评分（满分</w:t>
            </w:r>
            <w:r>
              <w:rPr>
                <w:rFonts w:ascii="宋体" w:hAnsi="宋体"/>
                <w:b/>
                <w:color w:val="auto"/>
                <w:szCs w:val="21"/>
                <w:highlight w:val="none"/>
              </w:rPr>
              <w:t>1</w:t>
            </w:r>
            <w:r>
              <w:rPr>
                <w:rFonts w:hint="eastAsia" w:ascii="宋体" w:hAnsi="宋体"/>
                <w:b/>
                <w:color w:val="auto"/>
                <w:szCs w:val="21"/>
                <w:highlight w:val="none"/>
              </w:rPr>
              <w:t>分）</w:t>
            </w:r>
          </w:p>
          <w:p w14:paraId="4C731360">
            <w:pPr>
              <w:snapToGrid w:val="0"/>
              <w:spacing w:line="360" w:lineRule="auto"/>
              <w:jc w:val="left"/>
              <w:rPr>
                <w:rFonts w:hint="eastAsia" w:ascii="宋体" w:hAnsi="宋体" w:cs="宋体"/>
                <w:b/>
                <w:color w:val="auto"/>
                <w:szCs w:val="21"/>
                <w:highlight w:val="none"/>
              </w:rPr>
            </w:pPr>
            <w:r>
              <w:rPr>
                <w:rFonts w:hint="eastAsia" w:ascii="宋体" w:hAnsi="宋体"/>
                <w:color w:val="auto"/>
                <w:szCs w:val="21"/>
                <w:highlight w:val="none"/>
              </w:rPr>
              <w:t>投标产品认定为节能产品（非政府强制采购节能产品）的加</w:t>
            </w:r>
            <w:r>
              <w:rPr>
                <w:rFonts w:ascii="宋体" w:hAnsi="宋体"/>
                <w:color w:val="auto"/>
                <w:szCs w:val="21"/>
                <w:highlight w:val="none"/>
              </w:rPr>
              <w:t>0.5</w:t>
            </w:r>
            <w:r>
              <w:rPr>
                <w:rFonts w:hint="eastAsia" w:ascii="宋体" w:hAnsi="宋体"/>
                <w:color w:val="auto"/>
                <w:szCs w:val="21"/>
                <w:highlight w:val="none"/>
              </w:rPr>
              <w:t>分，环保产品的加</w:t>
            </w:r>
            <w:r>
              <w:rPr>
                <w:rFonts w:ascii="宋体" w:hAnsi="宋体"/>
                <w:color w:val="auto"/>
                <w:szCs w:val="21"/>
                <w:highlight w:val="none"/>
              </w:rPr>
              <w:t>0.5</w:t>
            </w:r>
            <w:r>
              <w:rPr>
                <w:rFonts w:hint="eastAsia" w:ascii="宋体" w:hAnsi="宋体"/>
                <w:color w:val="auto"/>
                <w:szCs w:val="21"/>
                <w:highlight w:val="none"/>
              </w:rPr>
              <w:t>分。</w:t>
            </w:r>
          </w:p>
        </w:tc>
      </w:tr>
      <w:tr w14:paraId="202A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973" w:type="dxa"/>
            <w:vMerge w:val="continue"/>
            <w:vAlign w:val="center"/>
          </w:tcPr>
          <w:p w14:paraId="2A35D40C">
            <w:pPr>
              <w:rPr>
                <w:rFonts w:hint="eastAsia" w:ascii="宋体" w:hAnsi="宋体"/>
                <w:color w:val="auto"/>
                <w:szCs w:val="21"/>
                <w:highlight w:val="none"/>
              </w:rPr>
            </w:pPr>
          </w:p>
        </w:tc>
        <w:tc>
          <w:tcPr>
            <w:tcW w:w="1276" w:type="dxa"/>
            <w:vMerge w:val="continue"/>
            <w:vAlign w:val="center"/>
          </w:tcPr>
          <w:p w14:paraId="6E1496B7">
            <w:pPr>
              <w:rPr>
                <w:rFonts w:hint="eastAsia" w:ascii="宋体" w:hAnsi="宋体"/>
                <w:color w:val="auto"/>
                <w:szCs w:val="21"/>
                <w:highlight w:val="none"/>
              </w:rPr>
            </w:pPr>
          </w:p>
        </w:tc>
        <w:tc>
          <w:tcPr>
            <w:tcW w:w="1853" w:type="dxa"/>
            <w:vMerge w:val="restart"/>
            <w:vAlign w:val="center"/>
          </w:tcPr>
          <w:p w14:paraId="26E6D9D3">
            <w:pPr>
              <w:jc w:val="center"/>
              <w:rPr>
                <w:rFonts w:hint="eastAsia" w:ascii="宋体" w:hAnsi="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、商务</w:t>
            </w:r>
            <w:r>
              <w:rPr>
                <w:rFonts w:hint="eastAsia" w:ascii="宋体" w:hAnsi="宋体"/>
                <w:color w:val="auto"/>
                <w:szCs w:val="21"/>
                <w:highlight w:val="none"/>
              </w:rPr>
              <w:t>部分</w:t>
            </w:r>
          </w:p>
          <w:p w14:paraId="013F4A80">
            <w:pPr>
              <w:jc w:val="center"/>
              <w:rPr>
                <w:rFonts w:hint="eastAsia" w:ascii="宋体" w:hAnsi="宋体"/>
                <w:color w:val="auto"/>
                <w:szCs w:val="21"/>
                <w:highlight w:val="none"/>
              </w:rPr>
            </w:pPr>
            <w:r>
              <w:rPr>
                <w:rFonts w:hint="eastAsia" w:ascii="宋体" w:hAnsi="宋体"/>
                <w:color w:val="auto"/>
                <w:szCs w:val="21"/>
                <w:highlight w:val="none"/>
              </w:rPr>
              <w:t>评审F</w:t>
            </w:r>
            <w:r>
              <w:rPr>
                <w:rFonts w:ascii="宋体" w:hAnsi="宋体"/>
                <w:color w:val="auto"/>
                <w:szCs w:val="21"/>
                <w:highlight w:val="none"/>
              </w:rPr>
              <w:t>3</w:t>
            </w:r>
          </w:p>
          <w:p w14:paraId="7419B19E">
            <w:pPr>
              <w:jc w:val="center"/>
              <w:rPr>
                <w:rFonts w:hint="eastAsia" w:ascii="宋体" w:hAnsi="宋体" w:cs="宋体"/>
                <w:color w:val="auto"/>
                <w:szCs w:val="21"/>
                <w:highlight w:val="none"/>
              </w:rPr>
            </w:pPr>
            <w:r>
              <w:rPr>
                <w:rFonts w:hint="eastAsia" w:ascii="宋体" w:hAnsi="宋体"/>
                <w:color w:val="auto"/>
                <w:szCs w:val="21"/>
                <w:highlight w:val="none"/>
              </w:rPr>
              <w:t>（满</w:t>
            </w:r>
            <w:r>
              <w:rPr>
                <w:rFonts w:ascii="宋体" w:hAnsi="宋体"/>
                <w:color w:val="auto"/>
                <w:szCs w:val="21"/>
                <w:highlight w:val="none"/>
              </w:rPr>
              <w:t>1</w:t>
            </w:r>
            <w:r>
              <w:rPr>
                <w:rFonts w:hint="eastAsia" w:ascii="宋体" w:hAnsi="宋体"/>
                <w:color w:val="auto"/>
                <w:szCs w:val="21"/>
                <w:highlight w:val="none"/>
              </w:rPr>
              <w:t>3分）</w:t>
            </w:r>
          </w:p>
        </w:tc>
        <w:tc>
          <w:tcPr>
            <w:tcW w:w="5943" w:type="dxa"/>
            <w:vAlign w:val="center"/>
          </w:tcPr>
          <w:p w14:paraId="76F16A55">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1、商务指标响应评分（满分2分）</w:t>
            </w:r>
          </w:p>
          <w:p w14:paraId="3558A214">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根据投标文件对招标文件商务指标的响应程度进行评分，质保期、交货期、交货地点、质量标准、交货方式、付款方式6项内容均响应招标文件要求的得2分，出现一项不满足招标文件要求的不得分。</w:t>
            </w:r>
          </w:p>
        </w:tc>
      </w:tr>
      <w:tr w14:paraId="1AD7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973" w:type="dxa"/>
            <w:vMerge w:val="continue"/>
            <w:vAlign w:val="center"/>
          </w:tcPr>
          <w:p w14:paraId="658EFB70">
            <w:pPr>
              <w:rPr>
                <w:rFonts w:hint="eastAsia" w:ascii="宋体" w:hAnsi="宋体"/>
                <w:color w:val="auto"/>
                <w:szCs w:val="21"/>
                <w:highlight w:val="none"/>
              </w:rPr>
            </w:pPr>
          </w:p>
        </w:tc>
        <w:tc>
          <w:tcPr>
            <w:tcW w:w="1276" w:type="dxa"/>
            <w:vMerge w:val="continue"/>
            <w:vAlign w:val="center"/>
          </w:tcPr>
          <w:p w14:paraId="3950EC47">
            <w:pPr>
              <w:rPr>
                <w:rFonts w:hint="eastAsia" w:ascii="宋体" w:hAnsi="宋体"/>
                <w:color w:val="auto"/>
                <w:szCs w:val="21"/>
                <w:highlight w:val="none"/>
              </w:rPr>
            </w:pPr>
          </w:p>
        </w:tc>
        <w:tc>
          <w:tcPr>
            <w:tcW w:w="1853" w:type="dxa"/>
            <w:vMerge w:val="continue"/>
            <w:vAlign w:val="center"/>
          </w:tcPr>
          <w:p w14:paraId="70852B8B">
            <w:pPr>
              <w:jc w:val="center"/>
              <w:rPr>
                <w:rFonts w:hint="eastAsia" w:ascii="宋体" w:hAnsi="宋体" w:cs="宋体"/>
                <w:color w:val="auto"/>
                <w:szCs w:val="21"/>
                <w:highlight w:val="none"/>
              </w:rPr>
            </w:pPr>
          </w:p>
        </w:tc>
        <w:tc>
          <w:tcPr>
            <w:tcW w:w="5943" w:type="dxa"/>
            <w:vAlign w:val="center"/>
          </w:tcPr>
          <w:p w14:paraId="3FE465D6">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2、售后服务评审评分（满分8分）</w:t>
            </w:r>
          </w:p>
          <w:p w14:paraId="364C8F0C">
            <w:pPr>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根据投标人提供的售后服务</w:t>
            </w:r>
            <w:r>
              <w:rPr>
                <w:rFonts w:hint="eastAsia" w:ascii="宋体" w:hAnsi="宋体"/>
                <w:bCs/>
                <w:color w:val="auto"/>
                <w:szCs w:val="21"/>
                <w:highlight w:val="none"/>
              </w:rPr>
              <w:t>方案</w:t>
            </w:r>
            <w:r>
              <w:rPr>
                <w:rFonts w:hint="eastAsia" w:ascii="宋体" w:hAnsi="宋体"/>
                <w:color w:val="auto"/>
                <w:szCs w:val="21"/>
                <w:highlight w:val="none"/>
              </w:rPr>
              <w:t>进行综合评审，内容包含但不限于：（1）售后服务承诺（包括但不限于针对售后服务内容的保障措施、售后服务及违约承诺、违约惩罚措施）；（2）售后服务联系方式（技术支持和售后服务的方式包括电话支持、远程网络支持、现场支持等多种组织形式）；（3）售后服务团队（明确人员姓名、年龄、专业、岗位职责、联系方式等）；（4）维护方案（包括但不限于电话服务、网络服务、现场服务、巡检服务等）。以上4项内容每项2分，满分8分，每出现一项内容缺漏的扣2分;每有一项存在内容缺陷扣1分。</w:t>
            </w:r>
          </w:p>
          <w:p w14:paraId="08A0C5FB">
            <w:pPr>
              <w:spacing w:line="360" w:lineRule="auto"/>
              <w:jc w:val="left"/>
              <w:rPr>
                <w:rFonts w:hint="eastAsia" w:ascii="宋体" w:hAnsi="宋体"/>
                <w:b/>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r w14:paraId="5F99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973" w:type="dxa"/>
            <w:vMerge w:val="continue"/>
            <w:vAlign w:val="center"/>
          </w:tcPr>
          <w:p w14:paraId="65F06DF6">
            <w:pPr>
              <w:rPr>
                <w:rFonts w:hint="eastAsia" w:ascii="宋体" w:hAnsi="宋体"/>
                <w:color w:val="auto"/>
                <w:szCs w:val="21"/>
                <w:highlight w:val="none"/>
              </w:rPr>
            </w:pPr>
          </w:p>
        </w:tc>
        <w:tc>
          <w:tcPr>
            <w:tcW w:w="1276" w:type="dxa"/>
            <w:vMerge w:val="continue"/>
            <w:vAlign w:val="center"/>
          </w:tcPr>
          <w:p w14:paraId="53B771A0">
            <w:pPr>
              <w:rPr>
                <w:rFonts w:hint="eastAsia" w:ascii="宋体" w:hAnsi="宋体"/>
                <w:color w:val="auto"/>
                <w:szCs w:val="21"/>
                <w:highlight w:val="none"/>
              </w:rPr>
            </w:pPr>
          </w:p>
        </w:tc>
        <w:tc>
          <w:tcPr>
            <w:tcW w:w="1853" w:type="dxa"/>
            <w:vMerge w:val="continue"/>
            <w:vAlign w:val="center"/>
          </w:tcPr>
          <w:p w14:paraId="3F8ED93F">
            <w:pPr>
              <w:jc w:val="center"/>
              <w:rPr>
                <w:rFonts w:hint="eastAsia" w:ascii="宋体" w:hAnsi="宋体" w:cs="宋体"/>
                <w:color w:val="auto"/>
                <w:szCs w:val="21"/>
                <w:highlight w:val="none"/>
              </w:rPr>
            </w:pPr>
          </w:p>
        </w:tc>
        <w:tc>
          <w:tcPr>
            <w:tcW w:w="5943" w:type="dxa"/>
            <w:vAlign w:val="center"/>
          </w:tcPr>
          <w:p w14:paraId="663122B9">
            <w:pPr>
              <w:snapToGrid w:val="0"/>
              <w:spacing w:line="360" w:lineRule="auto"/>
              <w:jc w:val="left"/>
              <w:rPr>
                <w:rFonts w:hint="eastAsia" w:ascii="宋体" w:hAnsi="宋体" w:cs="宋体"/>
                <w:b/>
                <w:color w:val="auto"/>
                <w:szCs w:val="21"/>
                <w:highlight w:val="none"/>
              </w:rPr>
            </w:pPr>
            <w:r>
              <w:rPr>
                <w:rFonts w:hint="eastAsia" w:ascii="宋体" w:hAnsi="宋体"/>
                <w:b/>
                <w:color w:val="auto"/>
                <w:szCs w:val="21"/>
                <w:highlight w:val="none"/>
              </w:rPr>
              <w:t>3、</w:t>
            </w:r>
            <w:r>
              <w:rPr>
                <w:rFonts w:hint="eastAsia" w:ascii="宋体" w:hAnsi="宋体" w:cs="宋体"/>
                <w:b/>
                <w:color w:val="auto"/>
                <w:szCs w:val="21"/>
                <w:highlight w:val="none"/>
              </w:rPr>
              <w:t>培训方案（</w:t>
            </w:r>
            <w:r>
              <w:rPr>
                <w:rFonts w:hint="eastAsia" w:ascii="宋体" w:hAnsi="宋体"/>
                <w:b/>
                <w:color w:val="auto"/>
                <w:szCs w:val="21"/>
                <w:highlight w:val="none"/>
              </w:rPr>
              <w:t>满分</w:t>
            </w:r>
            <w:r>
              <w:rPr>
                <w:rFonts w:hint="eastAsia" w:ascii="宋体" w:hAnsi="宋体" w:cs="宋体"/>
                <w:b/>
                <w:color w:val="auto"/>
                <w:szCs w:val="21"/>
                <w:highlight w:val="none"/>
              </w:rPr>
              <w:t>3分）</w:t>
            </w:r>
          </w:p>
          <w:p w14:paraId="53F78505">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人提供的针对业主的培训方案进行综合评审，内容包含但不限于：（1）培训内容（包括临床应用培训、相关设备标准培训、常见故障诊断与排除、软件系统的使用与管理）；（2）培训计划（包括培训时间安排、培训课程体系）；（3）培训效果的保障措施（包括反馈意见的收集和处理、线上与线下多样化的培训方式）。以上3项内容每项1分，满分3分，每出现一项内容缺漏的扣1分;每有一项存在内容缺陷扣0.5分。</w:t>
            </w:r>
          </w:p>
          <w:p w14:paraId="060DEF13">
            <w:pPr>
              <w:snapToGrid w:val="0"/>
              <w:spacing w:line="360" w:lineRule="auto"/>
              <w:jc w:val="left"/>
              <w:rPr>
                <w:rFonts w:hint="eastAsia" w:ascii="宋体" w:hAnsi="宋体"/>
                <w:b/>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bl>
    <w:p w14:paraId="02841729">
      <w:pPr>
        <w:rPr>
          <w:color w:val="auto"/>
          <w:highlight w:val="none"/>
        </w:rPr>
      </w:pPr>
    </w:p>
    <w:p w14:paraId="1F94B250">
      <w:pPr>
        <w:pStyle w:val="19"/>
        <w:rPr>
          <w:rFonts w:hint="eastAsia"/>
          <w:b/>
          <w:color w:val="auto"/>
          <w:sz w:val="21"/>
          <w:szCs w:val="21"/>
          <w:highlight w:val="none"/>
        </w:rPr>
      </w:pPr>
      <w:r>
        <w:rPr>
          <w:rFonts w:hint="eastAsia"/>
          <w:b/>
          <w:color w:val="auto"/>
          <w:sz w:val="21"/>
          <w:szCs w:val="21"/>
          <w:highlight w:val="none"/>
        </w:rPr>
        <w:t>1.评标方法：</w:t>
      </w:r>
    </w:p>
    <w:p w14:paraId="26896076">
      <w:pPr>
        <w:pStyle w:val="21"/>
        <w:tabs>
          <w:tab w:val="left" w:pos="540"/>
        </w:tabs>
        <w:adjustRightInd w:val="0"/>
        <w:snapToGrid w:val="0"/>
        <w:spacing w:after="0" w:line="360" w:lineRule="auto"/>
        <w:ind w:left="0" w:leftChars="0"/>
        <w:rPr>
          <w:rFonts w:hint="eastAsia" w:ascii="宋体" w:hAnsi="宋体"/>
          <w:b/>
          <w:bCs/>
          <w:color w:val="auto"/>
          <w:szCs w:val="21"/>
          <w:highlight w:val="none"/>
        </w:rPr>
      </w:pPr>
      <w:r>
        <w:rPr>
          <w:rFonts w:hint="eastAsia" w:ascii="宋体" w:hAnsi="宋体"/>
          <w:b/>
          <w:bCs/>
          <w:color w:val="auto"/>
          <w:szCs w:val="21"/>
          <w:highlight w:val="none"/>
        </w:rPr>
        <w:t>1.1本次评标采用综合评分法。</w:t>
      </w:r>
      <w:r>
        <w:rPr>
          <w:rFonts w:hint="eastAsia" w:ascii="宋体" w:hAnsi="宋体"/>
          <w:bCs/>
          <w:color w:val="auto"/>
          <w:szCs w:val="21"/>
          <w:highlight w:val="none"/>
        </w:rPr>
        <w:t>评标委员会对满足招标文件全部实质性要求（即通过资格性评审及符合性评审）的投标文件，按照本章前附表规定的评分标准进行打分，并按评标总得分计算公式计算评标总得分，按总得分由高到低的顺序推荐3名中标候选人；得分相同的，按投标报价由低到高顺序推荐；评标总得分及投标报价相等时，评标委员会将依次按技术部分得分高优先、商务部分得分高优先的顺序推荐；所有得分均相等的，</w:t>
      </w:r>
      <w:r>
        <w:rPr>
          <w:rFonts w:hint="eastAsia" w:ascii="inherit" w:hAnsi="inherit" w:cs="宋体"/>
          <w:color w:val="auto"/>
          <w:kern w:val="0"/>
          <w:szCs w:val="21"/>
          <w:highlight w:val="none"/>
        </w:rPr>
        <w:t>按优先采购小型或微型企业（含监狱企业、残疾人福利性单位）产品的原则推荐中标候选人，上述条件均相同，由评标委员会通过记名投票的方式推荐中标候选人</w:t>
      </w:r>
      <w:r>
        <w:rPr>
          <w:rFonts w:hint="eastAsia" w:ascii="宋体" w:hAnsi="宋体"/>
          <w:bCs/>
          <w:color w:val="auto"/>
          <w:szCs w:val="21"/>
          <w:highlight w:val="none"/>
        </w:rPr>
        <w:t>。</w:t>
      </w:r>
    </w:p>
    <w:p w14:paraId="7F464796">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2.政府采购政策：</w:t>
      </w:r>
    </w:p>
    <w:p w14:paraId="46353296">
      <w:pPr>
        <w:snapToGrid w:val="0"/>
        <w:spacing w:line="360" w:lineRule="auto"/>
        <w:rPr>
          <w:rFonts w:hint="eastAsia" w:ascii="宋体" w:hAnsi="宋体"/>
          <w:b/>
          <w:color w:val="auto"/>
          <w:szCs w:val="21"/>
          <w:highlight w:val="none"/>
        </w:rPr>
      </w:pPr>
      <w:r>
        <w:rPr>
          <w:rFonts w:ascii="宋体" w:hAnsi="宋体"/>
          <w:b/>
          <w:color w:val="auto"/>
          <w:szCs w:val="21"/>
          <w:highlight w:val="none"/>
        </w:rPr>
        <w:t>2.1</w:t>
      </w:r>
      <w:r>
        <w:rPr>
          <w:rFonts w:hint="eastAsia" w:ascii="宋体" w:hAnsi="宋体"/>
          <w:b/>
          <w:color w:val="auto"/>
          <w:szCs w:val="21"/>
          <w:highlight w:val="none"/>
        </w:rPr>
        <w:t>中小企业扶持政策</w:t>
      </w:r>
    </w:p>
    <w:p w14:paraId="01E29051">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.1根据《</w:t>
      </w:r>
      <w:r>
        <w:rPr>
          <w:rFonts w:ascii="inherit" w:hAnsi="inherit" w:cs="宋体"/>
          <w:color w:val="auto"/>
          <w:kern w:val="0"/>
          <w:szCs w:val="21"/>
          <w:highlight w:val="none"/>
        </w:rPr>
        <w:t>关于印发</w:t>
      </w:r>
      <w:r>
        <w:rPr>
          <w:rFonts w:hint="eastAsia" w:ascii="inherit" w:hAnsi="inherit" w:cs="宋体"/>
          <w:color w:val="auto"/>
          <w:kern w:val="0"/>
          <w:szCs w:val="21"/>
          <w:highlight w:val="none"/>
        </w:rPr>
        <w:t>&lt;政府采购促进中小企业发展管理办法&gt;</w:t>
      </w:r>
      <w:r>
        <w:rPr>
          <w:rFonts w:ascii="inherit" w:hAnsi="inherit" w:cs="宋体"/>
          <w:color w:val="auto"/>
          <w:kern w:val="0"/>
          <w:szCs w:val="21"/>
          <w:highlight w:val="none"/>
        </w:rPr>
        <w:t>的通知</w:t>
      </w:r>
      <w:r>
        <w:rPr>
          <w:rFonts w:hint="eastAsia" w:ascii="inherit" w:hAnsi="inherit" w:cs="宋体"/>
          <w:color w:val="auto"/>
          <w:kern w:val="0"/>
          <w:szCs w:val="21"/>
          <w:highlight w:val="none"/>
        </w:rPr>
        <w:t>》（财库【2020】46号）的规定，供应商提供的货物、工程或者服务符合下列情形的，享受评标方法中小企业扶持政策：</w:t>
      </w:r>
    </w:p>
    <w:p w14:paraId="6BC73583">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（一）在货物采购项目中，货物由中小企业制造，即货物由中小企业生产且使用该中小企业商号或者注册商标；</w:t>
      </w:r>
    </w:p>
    <w:p w14:paraId="545CC45F">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（二）在工程采购项目中，工程由中小企业承建，即工程施工单位为中小企业；</w:t>
      </w:r>
    </w:p>
    <w:p w14:paraId="05E662EE">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（三）在服务采购项目中，服务由中小企业承接，即提供服务的人员为中小企业依照《中华人民共和国劳动合同法》订立劳动合同的从业人员。</w:t>
      </w:r>
    </w:p>
    <w:p w14:paraId="726E05F2">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在货物采购项目中，供应商提供的货物既有中小企业制造货物，也有大型企业制造货物的，不享受评标方法规定的中小企业扶持政策。</w:t>
      </w:r>
    </w:p>
    <w:p w14:paraId="01E70BAE">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以联合体形式参加政府采购活动，联合体各方均为中小企业的，联合体视同中小企业。其中，联合体各方均为小微企业的，联合体视同小微企业。</w:t>
      </w:r>
    </w:p>
    <w:p w14:paraId="17B7C1F1">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w:t>
      </w:r>
      <w:r>
        <w:rPr>
          <w:rFonts w:ascii="inherit" w:hAnsi="inherit" w:cs="宋体"/>
          <w:color w:val="auto"/>
          <w:kern w:val="0"/>
          <w:szCs w:val="21"/>
          <w:highlight w:val="none"/>
        </w:rPr>
        <w:t>2</w:t>
      </w:r>
      <w:r>
        <w:rPr>
          <w:rFonts w:hint="eastAsia" w:ascii="inherit" w:hAnsi="inherit" w:cs="宋体"/>
          <w:color w:val="auto"/>
          <w:kern w:val="0"/>
          <w:szCs w:val="21"/>
          <w:highlight w:val="none"/>
        </w:rPr>
        <w:t>评标方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7F980913">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符合中小企业划分标准的个体工商户，在政府采购活动中视同中小企业。</w:t>
      </w:r>
    </w:p>
    <w:p w14:paraId="06A11C89">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.3中小企业参加政府采购活动，应当出具《中小企业声明函》（详见《投标文件格式》），否则不得享受相关中小企业扶持政策。</w:t>
      </w:r>
    </w:p>
    <w:p w14:paraId="6DD06658">
      <w:pPr>
        <w:pStyle w:val="21"/>
        <w:tabs>
          <w:tab w:val="left" w:pos="540"/>
        </w:tabs>
        <w:adjustRightInd w:val="0"/>
        <w:snapToGrid w:val="0"/>
        <w:spacing w:after="0" w:line="360" w:lineRule="auto"/>
        <w:ind w:left="0" w:leftChars="0"/>
        <w:rPr>
          <w:rFonts w:hint="eastAsia" w:ascii="inherit" w:hAnsi="inherit" w:cs="宋体"/>
          <w:b/>
          <w:color w:val="auto"/>
          <w:kern w:val="0"/>
          <w:szCs w:val="21"/>
          <w:highlight w:val="none"/>
        </w:rPr>
      </w:pPr>
      <w:r>
        <w:rPr>
          <w:rFonts w:ascii="inherit" w:hAnsi="inherit" w:cs="宋体"/>
          <w:b/>
          <w:color w:val="auto"/>
          <w:kern w:val="0"/>
          <w:szCs w:val="21"/>
          <w:highlight w:val="none"/>
        </w:rPr>
        <w:t>2</w:t>
      </w:r>
      <w:r>
        <w:rPr>
          <w:rFonts w:hint="eastAsia" w:ascii="inherit" w:hAnsi="inherit" w:cs="宋体"/>
          <w:b/>
          <w:color w:val="auto"/>
          <w:kern w:val="0"/>
          <w:szCs w:val="21"/>
          <w:highlight w:val="none"/>
        </w:rPr>
        <w:t>.</w:t>
      </w:r>
      <w:r>
        <w:rPr>
          <w:rFonts w:ascii="inherit" w:hAnsi="inherit" w:cs="宋体"/>
          <w:b/>
          <w:color w:val="auto"/>
          <w:kern w:val="0"/>
          <w:szCs w:val="21"/>
          <w:highlight w:val="none"/>
        </w:rPr>
        <w:t>2</w:t>
      </w:r>
      <w:r>
        <w:rPr>
          <w:rFonts w:hint="eastAsia" w:ascii="inherit" w:hAnsi="inherit" w:cs="宋体"/>
          <w:b/>
          <w:color w:val="auto"/>
          <w:kern w:val="0"/>
          <w:szCs w:val="21"/>
          <w:highlight w:val="none"/>
        </w:rPr>
        <w:t>监狱企业</w:t>
      </w:r>
    </w:p>
    <w:p w14:paraId="6EF32F1C">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2</w:t>
      </w:r>
      <w:r>
        <w:rPr>
          <w:rFonts w:hint="eastAsia" w:ascii="inherit" w:hAnsi="inherit" w:cs="宋体"/>
          <w:color w:val="auto"/>
          <w:kern w:val="0"/>
          <w:szCs w:val="21"/>
          <w:highlight w:val="none"/>
        </w:rPr>
        <w:t>.1根据财政部《司法部关于政府采购支持监狱企业发展有关问题》的通知（财库〔2014〕68号），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26329CE">
      <w:pPr>
        <w:pStyle w:val="21"/>
        <w:tabs>
          <w:tab w:val="left" w:pos="540"/>
        </w:tabs>
        <w:adjustRightInd w:val="0"/>
        <w:snapToGrid w:val="0"/>
        <w:spacing w:after="0" w:line="360" w:lineRule="auto"/>
        <w:ind w:left="0" w:leftChars="0"/>
        <w:rPr>
          <w:rFonts w:hint="eastAsia" w:ascii="inherit" w:hAnsi="inherit" w:cs="宋体"/>
          <w:b/>
          <w:color w:val="auto"/>
          <w:kern w:val="0"/>
          <w:szCs w:val="21"/>
          <w:highlight w:val="none"/>
        </w:rPr>
      </w:pPr>
      <w:r>
        <w:rPr>
          <w:rFonts w:hint="eastAsia" w:ascii="inherit" w:hAnsi="inherit" w:cs="宋体"/>
          <w:b/>
          <w:color w:val="auto"/>
          <w:kern w:val="0"/>
          <w:szCs w:val="21"/>
          <w:highlight w:val="none"/>
        </w:rPr>
        <w:t>2.3残疾人福利性单位</w:t>
      </w:r>
    </w:p>
    <w:p w14:paraId="31477537">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2.3</w:t>
      </w:r>
      <w:r>
        <w:rPr>
          <w:rFonts w:ascii="inherit" w:hAnsi="inherit" w:cs="宋体"/>
          <w:color w:val="auto"/>
          <w:kern w:val="0"/>
          <w:szCs w:val="21"/>
          <w:highlight w:val="none"/>
        </w:rPr>
        <w:t>.1根据</w:t>
      </w:r>
      <w:r>
        <w:rPr>
          <w:rFonts w:hint="eastAsia" w:ascii="inherit" w:hAnsi="inherit" w:cs="宋体"/>
          <w:color w:val="auto"/>
          <w:kern w:val="0"/>
          <w:szCs w:val="21"/>
          <w:highlight w:val="none"/>
        </w:rPr>
        <w:t>《财政部 民政部 中国残疾人联合会关于促进残疾人就业政府采购政策的通知》，享受政府采购支持政策的残疾人福利性单位应当同时满足以下条件：</w:t>
      </w:r>
    </w:p>
    <w:p w14:paraId="1D688D5C">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（1）安置的残疾人占本单位在职职工人数的比例不低于25%（含25%），并且安置的残疾人人数不少于10人（含10人）；</w:t>
      </w:r>
    </w:p>
    <w:p w14:paraId="4F03CCC0">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（2）依法与安置的每位残疾人签订了一年以上（含一年）的劳动合同或服务协议；</w:t>
      </w:r>
    </w:p>
    <w:p w14:paraId="5FD2C2C8">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（3）为安置的每位残疾人按月足额缴纳了基本养老保险、基本医疗保险、失业保险、工伤保险和生育保险等社会保险费；</w:t>
      </w:r>
    </w:p>
    <w:p w14:paraId="3387551D">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（4）通过银行等金融机构向安置的每位残疾人，按月支付了不低于单位所在区县适用的经省级人民政府批准的月最低工资标准的工资；</w:t>
      </w:r>
    </w:p>
    <w:p w14:paraId="69D906EF">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（5）提供本单位制造的货物、承担的工程或者服务（以下简称产品），或者提供其他残疾人福利性单位制造的货物（不包括使用非残疾人福利性单位注册商标的货物）。</w:t>
      </w:r>
    </w:p>
    <w:p w14:paraId="45EBF104">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ab/>
      </w:r>
      <w:r>
        <w:rPr>
          <w:rFonts w:hint="eastAsia" w:ascii="inherit" w:hAnsi="inherit" w:cs="宋体"/>
          <w:color w:val="auto"/>
          <w:kern w:val="0"/>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789F967">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2.3.2符合条件的残疾人福利性单位在参加政府采购活动时，应当提供《残疾人福利性单位声明函》，并对声明的真实性负责。</w:t>
      </w:r>
    </w:p>
    <w:p w14:paraId="53319AD1">
      <w:pPr>
        <w:pStyle w:val="19"/>
        <w:rPr>
          <w:rFonts w:hint="eastAsia"/>
          <w:b/>
          <w:color w:val="auto"/>
          <w:sz w:val="21"/>
          <w:szCs w:val="21"/>
          <w:highlight w:val="none"/>
        </w:rPr>
      </w:pPr>
      <w:r>
        <w:rPr>
          <w:rFonts w:hint="eastAsia"/>
          <w:b/>
          <w:color w:val="auto"/>
          <w:sz w:val="21"/>
          <w:szCs w:val="21"/>
          <w:highlight w:val="none"/>
        </w:rPr>
        <w:t>2.</w:t>
      </w:r>
      <w:r>
        <w:rPr>
          <w:b/>
          <w:color w:val="auto"/>
          <w:sz w:val="21"/>
          <w:szCs w:val="21"/>
          <w:highlight w:val="none"/>
        </w:rPr>
        <w:t>4</w:t>
      </w:r>
      <w:r>
        <w:rPr>
          <w:rFonts w:hint="eastAsia"/>
          <w:b/>
          <w:color w:val="auto"/>
          <w:sz w:val="21"/>
          <w:szCs w:val="21"/>
          <w:highlight w:val="none"/>
        </w:rPr>
        <w:t>节能、环境标志产品</w:t>
      </w:r>
    </w:p>
    <w:p w14:paraId="310D18D2">
      <w:pPr>
        <w:pStyle w:val="19"/>
        <w:rPr>
          <w:rFonts w:hint="eastAsia"/>
          <w:color w:val="auto"/>
          <w:sz w:val="21"/>
          <w:szCs w:val="21"/>
          <w:highlight w:val="none"/>
        </w:rPr>
      </w:pPr>
      <w:r>
        <w:rPr>
          <w:rFonts w:hint="eastAsia"/>
          <w:color w:val="auto"/>
          <w:sz w:val="21"/>
          <w:szCs w:val="21"/>
          <w:highlight w:val="none"/>
        </w:rPr>
        <w:t>2.4.1节能产品是指列入财政部和国家发改委公布的《节能产品政府采购品目清单》中的货物。政府强制采购节能产品是指《节能产品政府采购品目清单》中以“★”标注类别的产品。</w:t>
      </w:r>
    </w:p>
    <w:p w14:paraId="5E7E0269">
      <w:pPr>
        <w:pStyle w:val="19"/>
        <w:rPr>
          <w:rFonts w:hint="eastAsia"/>
          <w:color w:val="auto"/>
          <w:sz w:val="21"/>
          <w:szCs w:val="21"/>
          <w:highlight w:val="none"/>
        </w:rPr>
      </w:pPr>
      <w:r>
        <w:rPr>
          <w:rFonts w:hint="eastAsia"/>
          <w:color w:val="auto"/>
          <w:sz w:val="21"/>
          <w:szCs w:val="21"/>
          <w:highlight w:val="none"/>
        </w:rPr>
        <w:t>2.4.2环境标志产品是指列入财政部、生态环境部公布的《环境标志产品政府采购品目清单》中的货物。</w:t>
      </w:r>
    </w:p>
    <w:p w14:paraId="232F52FC">
      <w:pPr>
        <w:pStyle w:val="19"/>
        <w:rPr>
          <w:rFonts w:hint="eastAsia"/>
          <w:color w:val="auto"/>
          <w:sz w:val="21"/>
          <w:szCs w:val="21"/>
          <w:highlight w:val="none"/>
        </w:rPr>
      </w:pPr>
      <w:r>
        <w:rPr>
          <w:rFonts w:hint="eastAsia"/>
          <w:color w:val="auto"/>
          <w:sz w:val="21"/>
          <w:szCs w:val="21"/>
          <w:highlight w:val="none"/>
        </w:rPr>
        <w:t>★2.4.3本项目采购清单中若有政府强制采购节能产品，只接受强制节能产品投标，投标人必须在投标文件中提供国家确定的认证机构出具的、处于有效期之内的节能产品认证证书。投标人必须选报，否则按不实质性响应招标文件要求处理。</w:t>
      </w:r>
    </w:p>
    <w:p w14:paraId="698F430B">
      <w:pPr>
        <w:pStyle w:val="19"/>
        <w:rPr>
          <w:rFonts w:hint="eastAsia"/>
          <w:color w:val="auto"/>
          <w:sz w:val="21"/>
          <w:szCs w:val="21"/>
          <w:highlight w:val="none"/>
        </w:rPr>
      </w:pPr>
      <w:r>
        <w:rPr>
          <w:rFonts w:hint="eastAsia"/>
          <w:color w:val="auto"/>
          <w:sz w:val="21"/>
          <w:szCs w:val="21"/>
          <w:highlight w:val="none"/>
        </w:rPr>
        <w:t>2.4.4投标人应在投标文件中提供所投标产品国家确定的认证机构出具的、处于有效期之内的节能产品、环境标志产品认证证书，否则不予认可。</w:t>
      </w:r>
    </w:p>
    <w:p w14:paraId="380BF15C">
      <w:pPr>
        <w:pStyle w:val="19"/>
        <w:rPr>
          <w:rFonts w:hint="eastAsia"/>
          <w:color w:val="auto"/>
          <w:sz w:val="21"/>
          <w:szCs w:val="21"/>
          <w:highlight w:val="none"/>
        </w:rPr>
      </w:pPr>
      <w:r>
        <w:rPr>
          <w:rFonts w:hint="eastAsia"/>
          <w:color w:val="auto"/>
          <w:sz w:val="21"/>
          <w:szCs w:val="21"/>
          <w:highlight w:val="none"/>
        </w:rPr>
        <w:t xml:space="preserve">2.4.5《节能产品政府采购品目清单》及《环境标志产品政府采购品目清单》可通过中国政府采购网（http://www.ccgp.gov.cn/ ）查阅、下载。 </w:t>
      </w:r>
    </w:p>
    <w:p w14:paraId="3D3733A2">
      <w:pPr>
        <w:pStyle w:val="19"/>
        <w:rPr>
          <w:rFonts w:hint="eastAsia"/>
          <w:color w:val="auto"/>
          <w:sz w:val="21"/>
          <w:szCs w:val="21"/>
          <w:highlight w:val="none"/>
        </w:rPr>
      </w:pPr>
      <w:r>
        <w:rPr>
          <w:rFonts w:hint="eastAsia"/>
          <w:color w:val="auto"/>
          <w:sz w:val="21"/>
          <w:szCs w:val="21"/>
          <w:highlight w:val="none"/>
        </w:rPr>
        <w:t>2</w:t>
      </w:r>
      <w:r>
        <w:rPr>
          <w:color w:val="auto"/>
          <w:sz w:val="21"/>
          <w:szCs w:val="21"/>
          <w:highlight w:val="none"/>
        </w:rPr>
        <w:t>.4.6</w:t>
      </w:r>
      <w:r>
        <w:rPr>
          <w:rFonts w:hint="eastAsia"/>
          <w:color w:val="auto"/>
          <w:sz w:val="21"/>
          <w:szCs w:val="21"/>
          <w:highlight w:val="none"/>
        </w:rPr>
        <w:t>参与实施政府采购节能产品认证机构名录：</w:t>
      </w:r>
    </w:p>
    <w:tbl>
      <w:tblPr>
        <w:tblStyle w:val="33"/>
        <w:tblW w:w="9640" w:type="dxa"/>
        <w:jc w:val="center"/>
        <w:shd w:val="clear" w:color="auto" w:fill="FFFFFF"/>
        <w:tblLayout w:type="fixed"/>
        <w:tblCellMar>
          <w:top w:w="30" w:type="dxa"/>
          <w:left w:w="30" w:type="dxa"/>
          <w:bottom w:w="30" w:type="dxa"/>
          <w:right w:w="30" w:type="dxa"/>
        </w:tblCellMar>
      </w:tblPr>
      <w:tblGrid>
        <w:gridCol w:w="673"/>
        <w:gridCol w:w="1220"/>
        <w:gridCol w:w="1506"/>
        <w:gridCol w:w="1280"/>
        <w:gridCol w:w="1981"/>
        <w:gridCol w:w="2980"/>
      </w:tblGrid>
      <w:tr w14:paraId="1B6899D3">
        <w:tblPrEx>
          <w:shd w:val="clear" w:color="auto" w:fill="FFFFFF"/>
          <w:tblCellMar>
            <w:top w:w="30" w:type="dxa"/>
            <w:left w:w="30" w:type="dxa"/>
            <w:bottom w:w="30" w:type="dxa"/>
            <w:right w:w="30" w:type="dxa"/>
          </w:tblCellMar>
        </w:tblPrEx>
        <w:trPr>
          <w:trHeight w:val="284" w:hRule="atLeast"/>
          <w:jc w:val="center"/>
        </w:trPr>
        <w:tc>
          <w:tcPr>
            <w:tcW w:w="673" w:type="dxa"/>
            <w:vMerge w:val="restar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9C4A63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2726"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28858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一级目录</w:t>
            </w:r>
          </w:p>
        </w:tc>
        <w:tc>
          <w:tcPr>
            <w:tcW w:w="3261"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989E0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二级目录</w:t>
            </w:r>
          </w:p>
        </w:tc>
        <w:tc>
          <w:tcPr>
            <w:tcW w:w="2980"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F386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认证机构名录</w:t>
            </w:r>
          </w:p>
        </w:tc>
      </w:tr>
      <w:tr w14:paraId="1301D8F3">
        <w:tblPrEx>
          <w:tblCellMar>
            <w:top w:w="30" w:type="dxa"/>
            <w:left w:w="30" w:type="dxa"/>
            <w:bottom w:w="30" w:type="dxa"/>
            <w:right w:w="30" w:type="dxa"/>
          </w:tblCellMar>
        </w:tblPrEx>
        <w:trPr>
          <w:trHeight w:val="284" w:hRule="atLeast"/>
          <w:jc w:val="center"/>
        </w:trPr>
        <w:tc>
          <w:tcPr>
            <w:tcW w:w="673" w:type="dxa"/>
            <w:vMerge w:val="continue"/>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6E1F5D1">
            <w:pPr>
              <w:widowControl/>
              <w:jc w:val="center"/>
              <w:rPr>
                <w:rFonts w:hint="eastAsia" w:ascii="宋体" w:hAnsi="宋体" w:cs="宋体"/>
                <w:color w:val="auto"/>
                <w:kern w:val="0"/>
                <w:szCs w:val="21"/>
                <w:highlight w:val="none"/>
              </w:rPr>
            </w:pP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A0154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产品代码</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5E755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产品名称</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C8EF1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产品代码</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880B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产品名称</w:t>
            </w:r>
          </w:p>
        </w:tc>
        <w:tc>
          <w:tcPr>
            <w:tcW w:w="2980" w:type="dxa"/>
            <w:vMerge w:val="continue"/>
            <w:tcBorders>
              <w:top w:val="single" w:color="auto" w:sz="8" w:space="0"/>
              <w:left w:val="nil"/>
              <w:bottom w:val="single" w:color="auto" w:sz="8" w:space="0"/>
              <w:right w:val="single" w:color="auto" w:sz="8" w:space="0"/>
            </w:tcBorders>
            <w:shd w:val="clear" w:color="auto" w:fill="FFFFFF"/>
            <w:tcMar>
              <w:top w:w="0" w:type="dxa"/>
              <w:left w:w="0" w:type="dxa"/>
              <w:bottom w:w="0" w:type="dxa"/>
              <w:right w:w="0" w:type="dxa"/>
            </w:tcMar>
            <w:vAlign w:val="center"/>
          </w:tcPr>
          <w:p w14:paraId="483ACE1C">
            <w:pPr>
              <w:widowControl/>
              <w:jc w:val="center"/>
              <w:rPr>
                <w:rFonts w:hint="eastAsia" w:ascii="宋体" w:hAnsi="宋体" w:cs="宋体"/>
                <w:color w:val="auto"/>
                <w:kern w:val="0"/>
                <w:szCs w:val="21"/>
                <w:highlight w:val="none"/>
              </w:rPr>
            </w:pPr>
          </w:p>
        </w:tc>
      </w:tr>
      <w:tr w14:paraId="60AEB379">
        <w:tblPrEx>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EC8E6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202B7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30152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计算机设备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A73C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A02010104</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C8C61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台式计算机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64B7D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FEDE8F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北京赛西认证有限责任公司</w:t>
            </w:r>
          </w:p>
          <w:p w14:paraId="650EDE4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中国网络安全审查技术与认证中心</w:t>
            </w:r>
          </w:p>
          <w:p w14:paraId="06720EC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广州赛宝认证中心服务有限公司</w:t>
            </w:r>
          </w:p>
        </w:tc>
      </w:tr>
      <w:tr w14:paraId="565451A9">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282377">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3E56566">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26FB361">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4141F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A02010105</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8D782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便携式计算机</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A464F12">
            <w:pPr>
              <w:widowControl/>
              <w:jc w:val="center"/>
              <w:rPr>
                <w:rFonts w:hint="eastAsia" w:ascii="宋体" w:hAnsi="宋体" w:cs="宋体"/>
                <w:color w:val="auto"/>
                <w:kern w:val="0"/>
                <w:szCs w:val="21"/>
                <w:highlight w:val="none"/>
              </w:rPr>
            </w:pPr>
          </w:p>
        </w:tc>
      </w:tr>
      <w:tr w14:paraId="3979F7F8">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BCD9E5A">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A40DA5C">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505B20B">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8C39C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A02010107</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920CD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平板式微型计算机</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A047E9C">
            <w:pPr>
              <w:widowControl/>
              <w:jc w:val="center"/>
              <w:rPr>
                <w:rFonts w:hint="eastAsia" w:ascii="宋体" w:hAnsi="宋体" w:cs="宋体"/>
                <w:color w:val="auto"/>
                <w:kern w:val="0"/>
                <w:szCs w:val="21"/>
                <w:highlight w:val="none"/>
              </w:rPr>
            </w:pPr>
          </w:p>
        </w:tc>
      </w:tr>
      <w:tr w14:paraId="069FA3EC">
        <w:tblPrEx>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2AC20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61833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F2DF0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输入输出设备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63869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2ED6F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打印设备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1F8F36E">
            <w:pPr>
              <w:widowControl/>
              <w:jc w:val="center"/>
              <w:rPr>
                <w:rFonts w:hint="eastAsia" w:ascii="宋体" w:hAnsi="宋体" w:cs="宋体"/>
                <w:color w:val="auto"/>
                <w:kern w:val="0"/>
                <w:szCs w:val="21"/>
                <w:highlight w:val="none"/>
              </w:rPr>
            </w:pPr>
          </w:p>
        </w:tc>
      </w:tr>
      <w:tr w14:paraId="3CBF58CA">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56049DC">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9FE4E7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C1436DE">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89B91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A02010604</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8F7EE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显示设备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0043705">
            <w:pPr>
              <w:widowControl/>
              <w:jc w:val="center"/>
              <w:rPr>
                <w:rFonts w:hint="eastAsia" w:ascii="宋体" w:hAnsi="宋体" w:cs="宋体"/>
                <w:color w:val="auto"/>
                <w:kern w:val="0"/>
                <w:szCs w:val="21"/>
                <w:highlight w:val="none"/>
              </w:rPr>
            </w:pPr>
          </w:p>
        </w:tc>
      </w:tr>
      <w:tr w14:paraId="431F3B77">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3BE0A0A">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C93DC00">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6BD8F2">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6E99F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14D78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图形图像输入设备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F9DC86F">
            <w:pPr>
              <w:widowControl/>
              <w:jc w:val="center"/>
              <w:rPr>
                <w:rFonts w:hint="eastAsia" w:ascii="宋体" w:hAnsi="宋体" w:cs="宋体"/>
                <w:color w:val="auto"/>
                <w:kern w:val="0"/>
                <w:szCs w:val="21"/>
                <w:highlight w:val="none"/>
              </w:rPr>
            </w:pPr>
          </w:p>
        </w:tc>
      </w:tr>
      <w:tr w14:paraId="76B22DEF">
        <w:tblPrEx>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03928B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DB97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A020202</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5D2F7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投影仪</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F35EBF">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868FCB">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472062">
            <w:pPr>
              <w:widowControl/>
              <w:jc w:val="center"/>
              <w:rPr>
                <w:rFonts w:hint="eastAsia" w:ascii="宋体" w:hAnsi="宋体" w:cs="宋体"/>
                <w:color w:val="auto"/>
                <w:kern w:val="0"/>
                <w:szCs w:val="21"/>
                <w:highlight w:val="none"/>
              </w:rPr>
            </w:pPr>
          </w:p>
        </w:tc>
      </w:tr>
      <w:tr w14:paraId="0B507FF4">
        <w:tblPrEx>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C991DF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1F553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A020204</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13DEB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多功能一体机</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53E8E0">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199D68">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EB89C48">
            <w:pPr>
              <w:widowControl/>
              <w:jc w:val="center"/>
              <w:rPr>
                <w:rFonts w:hint="eastAsia" w:ascii="宋体" w:hAnsi="宋体" w:cs="宋体"/>
                <w:color w:val="auto"/>
                <w:kern w:val="0"/>
                <w:szCs w:val="21"/>
                <w:highlight w:val="none"/>
              </w:rPr>
            </w:pPr>
          </w:p>
        </w:tc>
      </w:tr>
      <w:tr w14:paraId="3472B608">
        <w:tblPrEx>
          <w:tblCellMar>
            <w:top w:w="30" w:type="dxa"/>
            <w:left w:w="30" w:type="dxa"/>
            <w:bottom w:w="30" w:type="dxa"/>
            <w:right w:w="30" w:type="dxa"/>
          </w:tblCellMar>
        </w:tblPrEx>
        <w:trPr>
          <w:trHeight w:val="799"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49689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3F38F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A020519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79EF3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泵</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DBF33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A02051901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0F639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离心泵</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6BADE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08FB7D6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3307271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0329552A">
        <w:tblPrEx>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FBE183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B4B30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43F4D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制冷空调设备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14E73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F8419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制冷压缩机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F81DC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E9C68A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0167184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w:t>
            </w:r>
          </w:p>
          <w:p w14:paraId="6B1AEE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北京中冷通质量认证中心有限公司</w:t>
            </w:r>
          </w:p>
        </w:tc>
      </w:tr>
      <w:tr w14:paraId="052DE6A8">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3B4DF22">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CE1020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16CB5C">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470F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A02052305</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EDDCA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空调机组</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F373D0C">
            <w:pPr>
              <w:widowControl/>
              <w:jc w:val="center"/>
              <w:rPr>
                <w:rFonts w:hint="eastAsia" w:ascii="宋体" w:hAnsi="宋体" w:cs="宋体"/>
                <w:color w:val="auto"/>
                <w:kern w:val="0"/>
                <w:szCs w:val="21"/>
                <w:highlight w:val="none"/>
              </w:rPr>
            </w:pPr>
          </w:p>
        </w:tc>
      </w:tr>
      <w:tr w14:paraId="744D5685">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CF660B8">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2E95AB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D492F0F">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9F4E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A008F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专用制冷、空调设备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B83A493">
            <w:pPr>
              <w:widowControl/>
              <w:jc w:val="center"/>
              <w:rPr>
                <w:rFonts w:hint="eastAsia" w:ascii="宋体" w:hAnsi="宋体" w:cs="宋体"/>
                <w:color w:val="auto"/>
                <w:kern w:val="0"/>
                <w:szCs w:val="21"/>
                <w:highlight w:val="none"/>
              </w:rPr>
            </w:pPr>
          </w:p>
        </w:tc>
      </w:tr>
      <w:tr w14:paraId="215DFB06">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5FD1238">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8B0C961">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12A82AD">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E40B0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A02052399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7DFC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其他制冷空调设备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8A01BF9">
            <w:pPr>
              <w:widowControl/>
              <w:jc w:val="center"/>
              <w:rPr>
                <w:rFonts w:hint="eastAsia" w:ascii="宋体" w:hAnsi="宋体" w:cs="宋体"/>
                <w:color w:val="auto"/>
                <w:kern w:val="0"/>
                <w:szCs w:val="21"/>
                <w:highlight w:val="none"/>
              </w:rPr>
            </w:pPr>
          </w:p>
        </w:tc>
      </w:tr>
      <w:tr w14:paraId="5CFFAA95">
        <w:tblPrEx>
          <w:tblCellMar>
            <w:top w:w="30" w:type="dxa"/>
            <w:left w:w="30" w:type="dxa"/>
            <w:bottom w:w="30" w:type="dxa"/>
            <w:right w:w="30" w:type="dxa"/>
          </w:tblCellMar>
        </w:tblPrEx>
        <w:trPr>
          <w:trHeight w:val="1033"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D73C74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B1E90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A020601</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45AEC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电机</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4DC33C">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479337">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E7643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6FC9DE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4441699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1C7C060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中国船级社质量认证公司</w:t>
            </w:r>
          </w:p>
        </w:tc>
      </w:tr>
      <w:tr w14:paraId="4ED83AB6">
        <w:tblPrEx>
          <w:tblCellMar>
            <w:top w:w="30" w:type="dxa"/>
            <w:left w:w="30" w:type="dxa"/>
            <w:bottom w:w="30" w:type="dxa"/>
            <w:right w:w="30" w:type="dxa"/>
          </w:tblCellMar>
        </w:tblPrEx>
        <w:trPr>
          <w:trHeight w:val="861"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73FFBE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AEDA3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A020602</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F5D33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变压器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B47BAE">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F9C3E9">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DDABA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500F99D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018E657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565410F1">
        <w:tblPrEx>
          <w:tblCellMar>
            <w:top w:w="30" w:type="dxa"/>
            <w:left w:w="30" w:type="dxa"/>
            <w:bottom w:w="30" w:type="dxa"/>
            <w:right w:w="30" w:type="dxa"/>
          </w:tblCellMar>
        </w:tblPrEx>
        <w:trPr>
          <w:trHeight w:val="84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512AD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E54D6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D827D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镇流器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7D2365">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C3ADB0">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EB042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0D0BA73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深圳市计量质量检测研究院</w:t>
            </w:r>
          </w:p>
          <w:p w14:paraId="13198D7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tc>
      </w:tr>
      <w:tr w14:paraId="6AAA84CD">
        <w:tblPrEx>
          <w:tblCellMar>
            <w:top w:w="30" w:type="dxa"/>
            <w:left w:w="30" w:type="dxa"/>
            <w:bottom w:w="30" w:type="dxa"/>
            <w:right w:w="30" w:type="dxa"/>
          </w:tblCellMar>
        </w:tblPrEx>
        <w:trPr>
          <w:trHeight w:val="400"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21AC38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CC0FA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80311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生活用电器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E7E92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A0206180101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E8D7B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电冰箱</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A91B3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285F79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1878BAF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tc>
      </w:tr>
      <w:tr w14:paraId="1FDEEE51">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AB5A735">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5DC63F7">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2F3A7B0">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4E42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A0206180203</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6279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空调机</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8C8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CD3A9D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0F286B3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p w14:paraId="1CA5CE1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w:t>
            </w:r>
          </w:p>
        </w:tc>
      </w:tr>
      <w:tr w14:paraId="06DE09E9">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6695D3C">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32AAF65">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797A569">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B1805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A0206180301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946EB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洗衣机</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68C48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248BC5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6B6E707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tc>
      </w:tr>
      <w:tr w14:paraId="6B2AB910">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F2EE06D">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4647298">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C8CDF26">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599BE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A02061808</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BEEAB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热水器</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3F942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423409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7771789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p w14:paraId="572CC26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合肥通用机械产品认证有限公司（范围仅限于“热泵热水器”）</w:t>
            </w:r>
          </w:p>
        </w:tc>
      </w:tr>
      <w:tr w14:paraId="076C1AE9">
        <w:tblPrEx>
          <w:tblCellMar>
            <w:top w:w="30" w:type="dxa"/>
            <w:left w:w="30" w:type="dxa"/>
            <w:bottom w:w="30" w:type="dxa"/>
            <w:right w:w="30" w:type="dxa"/>
          </w:tblCellMar>
        </w:tblPrEx>
        <w:trPr>
          <w:trHeight w:val="737"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0A9E3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11</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6554B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6FC00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照明设备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27AF54">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7E05FB">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B8273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40C4D8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深圳市计量质量检测研究院</w:t>
            </w:r>
          </w:p>
          <w:p w14:paraId="5AB25B7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tc>
      </w:tr>
      <w:tr w14:paraId="0DA57480">
        <w:tblPrEx>
          <w:tblCellMar>
            <w:top w:w="30" w:type="dxa"/>
            <w:left w:w="30" w:type="dxa"/>
            <w:bottom w:w="30" w:type="dxa"/>
            <w:right w:w="30" w:type="dxa"/>
          </w:tblCellMar>
        </w:tblPrEx>
        <w:trPr>
          <w:trHeight w:val="419"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95109F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12</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F8918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F42D2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电视设备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6139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A02091001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D9F4C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普通电视设备（电视机）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F376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94C3E9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北京泰瑞特认证有限责任公司</w:t>
            </w:r>
          </w:p>
          <w:p w14:paraId="2D0AAD4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广州赛宝认证中心服务有限公司</w:t>
            </w:r>
          </w:p>
        </w:tc>
      </w:tr>
      <w:tr w14:paraId="2984ACC5">
        <w:tblPrEx>
          <w:tblCellMar>
            <w:top w:w="30" w:type="dxa"/>
            <w:left w:w="30" w:type="dxa"/>
            <w:bottom w:w="30" w:type="dxa"/>
            <w:right w:w="30" w:type="dxa"/>
          </w:tblCellMar>
        </w:tblPrEx>
        <w:trPr>
          <w:trHeight w:val="410"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731C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13</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25D20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A020911</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F7F8D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视频设备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11375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A02091107</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845D5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视频监控设备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EFDCBEA">
            <w:pPr>
              <w:widowControl/>
              <w:jc w:val="center"/>
              <w:rPr>
                <w:rFonts w:hint="eastAsia" w:ascii="宋体" w:hAnsi="宋体" w:cs="宋体"/>
                <w:color w:val="auto"/>
                <w:kern w:val="0"/>
                <w:szCs w:val="21"/>
                <w:highlight w:val="none"/>
              </w:rPr>
            </w:pPr>
          </w:p>
        </w:tc>
      </w:tr>
      <w:tr w14:paraId="3C91D0C8">
        <w:tblPrEx>
          <w:tblCellMar>
            <w:top w:w="30" w:type="dxa"/>
            <w:left w:w="30" w:type="dxa"/>
            <w:bottom w:w="30" w:type="dxa"/>
            <w:right w:w="30" w:type="dxa"/>
          </w:tblCellMar>
        </w:tblPrEx>
        <w:trPr>
          <w:trHeight w:val="775"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E4D67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14</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043E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A031210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F14CB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饮食炊事机械</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1A173F">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FAC066">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B3F43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BAC3E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北京鉴衡认证中心</w:t>
            </w:r>
          </w:p>
          <w:p w14:paraId="09F950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中国市政工程华北设计研究总院有限公司</w:t>
            </w:r>
          </w:p>
        </w:tc>
      </w:tr>
      <w:tr w14:paraId="6A3D656A">
        <w:tblPrEx>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036EC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15</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BDDE9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A060805</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117BA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C1C155">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22C9E6">
            <w:pPr>
              <w:widowControl/>
              <w:jc w:val="center"/>
              <w:textAlignment w:val="baseline"/>
              <w:rPr>
                <w:rFonts w:hint="eastAsia" w:ascii="宋体" w:hAnsi="宋体" w:cs="宋体"/>
                <w:color w:val="auto"/>
                <w:kern w:val="0"/>
                <w:szCs w:val="21"/>
                <w:highlight w:val="none"/>
              </w:rPr>
            </w:pP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A8455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E77CF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北京新华节水产品认证有限公司</w:t>
            </w:r>
          </w:p>
          <w:p w14:paraId="556DA41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4B6F7915">
        <w:tblPrEx>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6889E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16</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7EEFB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A060806</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BFB51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水嘴</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934398">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94EAF2">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A0636C2">
            <w:pPr>
              <w:widowControl/>
              <w:jc w:val="center"/>
              <w:rPr>
                <w:rFonts w:hint="eastAsia" w:ascii="宋体" w:hAnsi="宋体" w:cs="宋体"/>
                <w:color w:val="auto"/>
                <w:kern w:val="0"/>
                <w:szCs w:val="21"/>
                <w:highlight w:val="none"/>
              </w:rPr>
            </w:pPr>
          </w:p>
        </w:tc>
      </w:tr>
      <w:tr w14:paraId="273028BD">
        <w:tblPrEx>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E84F4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17</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B1D09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A060807</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9D288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便器冲洗阀</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952F6">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606183">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D89B6A1">
            <w:pPr>
              <w:widowControl/>
              <w:jc w:val="center"/>
              <w:rPr>
                <w:rFonts w:hint="eastAsia" w:ascii="宋体" w:hAnsi="宋体" w:cs="宋体"/>
                <w:color w:val="auto"/>
                <w:kern w:val="0"/>
                <w:szCs w:val="21"/>
                <w:highlight w:val="none"/>
              </w:rPr>
            </w:pPr>
          </w:p>
        </w:tc>
      </w:tr>
      <w:tr w14:paraId="40383581">
        <w:tblPrEx>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97A40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18</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7C00A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30C59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淋浴器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18953C">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1E9CD">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913307F">
            <w:pPr>
              <w:widowControl/>
              <w:jc w:val="center"/>
              <w:rPr>
                <w:rFonts w:hint="eastAsia" w:ascii="宋体" w:hAnsi="宋体" w:cs="宋体"/>
                <w:color w:val="auto"/>
                <w:kern w:val="0"/>
                <w:szCs w:val="21"/>
                <w:highlight w:val="none"/>
              </w:rPr>
            </w:pPr>
          </w:p>
        </w:tc>
      </w:tr>
    </w:tbl>
    <w:p w14:paraId="476966A3">
      <w:pPr>
        <w:widowControl/>
        <w:shd w:val="clear" w:color="auto" w:fill="FFFFFF"/>
        <w:textAlignment w:val="baseline"/>
        <w:rPr>
          <w:rFonts w:hint="eastAsia" w:ascii="宋体" w:hAnsi="宋体" w:cs="宋体"/>
          <w:color w:val="auto"/>
          <w:kern w:val="0"/>
          <w:szCs w:val="21"/>
          <w:highlight w:val="none"/>
        </w:rPr>
      </w:pPr>
      <w:r>
        <w:rPr>
          <w:rFonts w:hint="eastAsia" w:ascii="宋体" w:hAnsi="宋体"/>
          <w:color w:val="auto"/>
          <w:szCs w:val="21"/>
          <w:highlight w:val="none"/>
        </w:rPr>
        <w:t>2</w:t>
      </w:r>
      <w:r>
        <w:rPr>
          <w:rFonts w:ascii="宋体" w:hAnsi="宋体"/>
          <w:color w:val="auto"/>
          <w:szCs w:val="21"/>
          <w:highlight w:val="none"/>
        </w:rPr>
        <w:t>.4.7</w:t>
      </w:r>
      <w:r>
        <w:rPr>
          <w:rFonts w:hint="eastAsia" w:ascii="宋体" w:hAnsi="宋体" w:cs="宋体"/>
          <w:color w:val="auto"/>
          <w:kern w:val="0"/>
          <w:szCs w:val="21"/>
          <w:highlight w:val="none"/>
        </w:rPr>
        <w:t>参与实施政府采购环境标志产品认证机构名录</w:t>
      </w:r>
      <w:r>
        <w:rPr>
          <w:rFonts w:ascii="宋体" w:hAnsi="宋体" w:cs="宋体"/>
          <w:color w:val="auto"/>
          <w:kern w:val="0"/>
          <w:szCs w:val="21"/>
          <w:highlight w:val="none"/>
        </w:rPr>
        <w:t> </w:t>
      </w:r>
    </w:p>
    <w:tbl>
      <w:tblPr>
        <w:tblStyle w:val="33"/>
        <w:tblW w:w="9629" w:type="dxa"/>
        <w:jc w:val="center"/>
        <w:shd w:val="clear" w:color="auto" w:fill="FFFFFF"/>
        <w:tblLayout w:type="autofit"/>
        <w:tblCellMar>
          <w:top w:w="30" w:type="dxa"/>
          <w:left w:w="30" w:type="dxa"/>
          <w:bottom w:w="30" w:type="dxa"/>
          <w:right w:w="30" w:type="dxa"/>
        </w:tblCellMar>
      </w:tblPr>
      <w:tblGrid>
        <w:gridCol w:w="720"/>
        <w:gridCol w:w="2363"/>
        <w:gridCol w:w="6546"/>
      </w:tblGrid>
      <w:tr w14:paraId="67D42113">
        <w:tblPrEx>
          <w:shd w:val="clear" w:color="auto" w:fill="FFFFFF"/>
          <w:tblCellMar>
            <w:top w:w="30" w:type="dxa"/>
            <w:left w:w="30" w:type="dxa"/>
            <w:bottom w:w="30" w:type="dxa"/>
            <w:right w:w="30" w:type="dxa"/>
          </w:tblCellMar>
        </w:tblPrEx>
        <w:trPr>
          <w:trHeight w:val="434" w:hRule="atLeast"/>
          <w:jc w:val="center"/>
        </w:trPr>
        <w:tc>
          <w:tcPr>
            <w:tcW w:w="72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bottom"/>
          </w:tcPr>
          <w:p w14:paraId="31934DB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236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7B19186E">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目录</w:t>
            </w:r>
          </w:p>
        </w:tc>
        <w:tc>
          <w:tcPr>
            <w:tcW w:w="654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0CCB219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认证机构名录</w:t>
            </w:r>
          </w:p>
        </w:tc>
      </w:tr>
      <w:tr w14:paraId="45CE5BA9">
        <w:tblPrEx>
          <w:shd w:val="clear" w:color="auto" w:fill="FFFFFF"/>
          <w:tblCellMar>
            <w:top w:w="30" w:type="dxa"/>
            <w:left w:w="30" w:type="dxa"/>
            <w:bottom w:w="30" w:type="dxa"/>
            <w:right w:w="30" w:type="dxa"/>
          </w:tblCellMar>
        </w:tblPrEx>
        <w:trPr>
          <w:trHeight w:val="861" w:hRule="atLeast"/>
          <w:jc w:val="center"/>
        </w:trPr>
        <w:tc>
          <w:tcPr>
            <w:tcW w:w="72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05CED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23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DCC807">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环境标志产品</w:t>
            </w:r>
          </w:p>
        </w:tc>
        <w:tc>
          <w:tcPr>
            <w:tcW w:w="654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F277AD">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中环联合（北京）认证中心有限公司</w:t>
            </w:r>
          </w:p>
          <w:p w14:paraId="71E61E75">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p w14:paraId="242B5D0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中环协（北京）认证中心</w:t>
            </w:r>
          </w:p>
          <w:p w14:paraId="2E9C860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天津华诚认证有限公司</w:t>
            </w:r>
          </w:p>
        </w:tc>
      </w:tr>
    </w:tbl>
    <w:p w14:paraId="189F472D">
      <w:pPr>
        <w:pStyle w:val="19"/>
        <w:rPr>
          <w:rFonts w:hint="eastAsia"/>
          <w:b/>
          <w:color w:val="auto"/>
          <w:sz w:val="21"/>
          <w:szCs w:val="21"/>
          <w:highlight w:val="none"/>
        </w:rPr>
      </w:pPr>
      <w:r>
        <w:rPr>
          <w:rFonts w:hint="eastAsia"/>
          <w:b/>
          <w:color w:val="auto"/>
          <w:sz w:val="21"/>
          <w:szCs w:val="21"/>
          <w:highlight w:val="none"/>
        </w:rPr>
        <w:t>3.评标程序及标准</w:t>
      </w:r>
    </w:p>
    <w:p w14:paraId="317A4897">
      <w:pPr>
        <w:pStyle w:val="19"/>
        <w:rPr>
          <w:rFonts w:hint="eastAsia"/>
          <w:color w:val="auto"/>
          <w:sz w:val="21"/>
          <w:szCs w:val="21"/>
          <w:highlight w:val="none"/>
        </w:rPr>
      </w:pPr>
      <w:r>
        <w:rPr>
          <w:rFonts w:hint="eastAsia"/>
          <w:color w:val="auto"/>
          <w:sz w:val="21"/>
          <w:szCs w:val="21"/>
          <w:highlight w:val="none"/>
        </w:rPr>
        <w:t>3.1符合性评审</w:t>
      </w:r>
    </w:p>
    <w:p w14:paraId="3B3F8805">
      <w:pPr>
        <w:pStyle w:val="19"/>
        <w:rPr>
          <w:rFonts w:hint="eastAsia"/>
          <w:color w:val="auto"/>
          <w:sz w:val="21"/>
          <w:szCs w:val="21"/>
          <w:highlight w:val="none"/>
        </w:rPr>
      </w:pPr>
      <w:r>
        <w:rPr>
          <w:rFonts w:hint="eastAsia"/>
          <w:color w:val="auto"/>
          <w:sz w:val="21"/>
          <w:szCs w:val="21"/>
          <w:highlight w:val="none"/>
        </w:rPr>
        <w:t>3.1.1依据招标文件的规定，评标委员会对符合资格的投标人的投标文件从有效性、完整性和对招标文件的实质性响应程度等方面进行审查，见评标方法前附表。通过符合性评审的投标人不足3家的，本项目应予废标。</w:t>
      </w:r>
    </w:p>
    <w:p w14:paraId="0F520661">
      <w:pPr>
        <w:pStyle w:val="19"/>
        <w:rPr>
          <w:rFonts w:hint="eastAsia"/>
          <w:color w:val="auto"/>
          <w:sz w:val="21"/>
          <w:szCs w:val="21"/>
          <w:highlight w:val="none"/>
        </w:rPr>
      </w:pPr>
      <w:r>
        <w:rPr>
          <w:rFonts w:hint="eastAsia"/>
          <w:color w:val="auto"/>
          <w:sz w:val="21"/>
          <w:szCs w:val="21"/>
          <w:highlight w:val="none"/>
        </w:rPr>
        <w:t xml:space="preserve">★3.1.2提供相同品牌产品且通过资格审查、符合性审查的不同投标人参加同一招标项目包投标的，按一家投标人计算，执行招标文件第二章投标人须知★26.7项规定。 </w:t>
      </w:r>
    </w:p>
    <w:p w14:paraId="58CB738E">
      <w:pPr>
        <w:pStyle w:val="19"/>
        <w:rPr>
          <w:rFonts w:hint="eastAsia"/>
          <w:color w:val="auto"/>
          <w:sz w:val="21"/>
          <w:szCs w:val="21"/>
          <w:highlight w:val="none"/>
        </w:rPr>
      </w:pPr>
      <w:r>
        <w:rPr>
          <w:rFonts w:hint="eastAsia"/>
          <w:color w:val="auto"/>
          <w:sz w:val="21"/>
          <w:szCs w:val="21"/>
          <w:highlight w:val="none"/>
        </w:rPr>
        <w:t>★3.1.3若单个项目包为非单一产品采购项目，对于招标文件第五章规定核心产品，多家投标人提供的核心产品品牌有一项品牌相同的，按3.1.2款规定处理。</w:t>
      </w:r>
    </w:p>
    <w:p w14:paraId="101CF0E5">
      <w:pPr>
        <w:pStyle w:val="19"/>
        <w:rPr>
          <w:rFonts w:hint="eastAsia"/>
          <w:color w:val="auto"/>
          <w:sz w:val="21"/>
          <w:szCs w:val="21"/>
          <w:highlight w:val="none"/>
        </w:rPr>
      </w:pPr>
      <w:r>
        <w:rPr>
          <w:rFonts w:hint="eastAsia"/>
          <w:color w:val="auto"/>
          <w:sz w:val="21"/>
          <w:szCs w:val="21"/>
          <w:highlight w:val="none"/>
        </w:rPr>
        <w:t>★3.1.4按上述条款执行后，投标人不足3家的，本项目应予废标。</w:t>
      </w:r>
    </w:p>
    <w:p w14:paraId="415240A8">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3.2详细评审</w:t>
      </w:r>
    </w:p>
    <w:p w14:paraId="0B87411B">
      <w:pPr>
        <w:pStyle w:val="19"/>
        <w:rPr>
          <w:rFonts w:hint="eastAsia"/>
          <w:color w:val="auto"/>
          <w:sz w:val="21"/>
          <w:szCs w:val="21"/>
          <w:highlight w:val="none"/>
        </w:rPr>
      </w:pPr>
      <w:bookmarkStart w:id="208" w:name="_Toc321836408"/>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2</w:t>
      </w:r>
      <w:r>
        <w:rPr>
          <w:color w:val="auto"/>
          <w:sz w:val="21"/>
          <w:szCs w:val="21"/>
          <w:highlight w:val="none"/>
        </w:rPr>
        <w:t>.1</w:t>
      </w:r>
      <w:bookmarkEnd w:id="208"/>
      <w:r>
        <w:rPr>
          <w:color w:val="auto"/>
          <w:sz w:val="21"/>
          <w:szCs w:val="21"/>
          <w:highlight w:val="none"/>
        </w:rPr>
        <w:t>评标委员会按照招标文件中规定的评标方法和标准，对符合性审查合格的投标文件进行商务和技术评估，综合比较与评价, 见评标方法前附表。</w:t>
      </w:r>
    </w:p>
    <w:p w14:paraId="5ED954A4">
      <w:pPr>
        <w:pStyle w:val="19"/>
        <w:rPr>
          <w:rFonts w:hint="eastAsia"/>
          <w:color w:val="auto"/>
          <w:sz w:val="21"/>
          <w:szCs w:val="21"/>
          <w:highlight w:val="none"/>
        </w:rPr>
      </w:pPr>
      <w:r>
        <w:rPr>
          <w:rFonts w:hint="eastAsia"/>
          <w:color w:val="auto"/>
          <w:sz w:val="21"/>
          <w:szCs w:val="21"/>
          <w:highlight w:val="none"/>
        </w:rPr>
        <w:t>3.2</w:t>
      </w:r>
      <w:r>
        <w:rPr>
          <w:color w:val="auto"/>
          <w:sz w:val="21"/>
          <w:szCs w:val="21"/>
          <w:highlight w:val="none"/>
        </w:rPr>
        <w:t>.2</w:t>
      </w:r>
      <w:r>
        <w:rPr>
          <w:rFonts w:hint="eastAsia"/>
          <w:color w:val="auto"/>
          <w:sz w:val="21"/>
          <w:szCs w:val="21"/>
          <w:highlight w:val="none"/>
        </w:rPr>
        <w:t>评标委员会各成员要依法独立评审，并对评审意见承担个人责任。对投标人的客观评分项的评分应当一致，对其他需要借助专业知识评判的评分项，应当严格按照评分细则公正评分。</w:t>
      </w:r>
    </w:p>
    <w:p w14:paraId="5290FB62">
      <w:pPr>
        <w:pStyle w:val="19"/>
        <w:rPr>
          <w:rFonts w:hint="eastAsia"/>
          <w:color w:val="auto"/>
          <w:sz w:val="21"/>
          <w:szCs w:val="21"/>
          <w:highlight w:val="none"/>
        </w:rPr>
      </w:pPr>
      <w:r>
        <w:rPr>
          <w:rFonts w:hint="eastAsia"/>
          <w:color w:val="auto"/>
          <w:sz w:val="21"/>
          <w:szCs w:val="21"/>
          <w:highlight w:val="none"/>
        </w:rPr>
        <w:t>3.2</w:t>
      </w:r>
      <w:r>
        <w:rPr>
          <w:color w:val="auto"/>
          <w:sz w:val="21"/>
          <w:szCs w:val="21"/>
          <w:highlight w:val="none"/>
        </w:rPr>
        <w:t>.3</w:t>
      </w:r>
      <w:r>
        <w:rPr>
          <w:rFonts w:hint="eastAsia"/>
          <w:color w:val="auto"/>
          <w:sz w:val="21"/>
          <w:szCs w:val="21"/>
          <w:highlight w:val="none"/>
        </w:rPr>
        <w:t>评标委员会成员对需要共同认定的事项存在争议的，按照少数服从多数的原则做出结论。持不同意见的评标委员会成员应当在评标报告上签署不同意见并说明理由，否则视为同意。</w:t>
      </w:r>
    </w:p>
    <w:p w14:paraId="1F08B658">
      <w:pPr>
        <w:pStyle w:val="19"/>
        <w:rPr>
          <w:rFonts w:hint="eastAsia"/>
          <w:color w:val="auto"/>
          <w:sz w:val="21"/>
          <w:szCs w:val="21"/>
          <w:highlight w:val="none"/>
        </w:rPr>
      </w:pPr>
      <w:r>
        <w:rPr>
          <w:rFonts w:hint="eastAsia"/>
          <w:color w:val="auto"/>
          <w:sz w:val="21"/>
          <w:szCs w:val="21"/>
          <w:highlight w:val="none"/>
        </w:rPr>
        <w:t>3.2.4</w:t>
      </w:r>
      <w:r>
        <w:rPr>
          <w:color w:val="auto"/>
          <w:sz w:val="21"/>
          <w:szCs w:val="21"/>
          <w:highlight w:val="none"/>
        </w:rPr>
        <w:t>投标文件报价出现前后不一致的，按照下列规定修正：</w:t>
      </w:r>
    </w:p>
    <w:p w14:paraId="2C481C58">
      <w:pPr>
        <w:pStyle w:val="19"/>
        <w:rPr>
          <w:rFonts w:hint="eastAsia"/>
          <w:color w:val="auto"/>
          <w:sz w:val="21"/>
          <w:szCs w:val="21"/>
          <w:highlight w:val="none"/>
        </w:rPr>
      </w:pPr>
      <w:r>
        <w:rPr>
          <w:rFonts w:hint="eastAsia"/>
          <w:color w:val="auto"/>
          <w:sz w:val="21"/>
          <w:szCs w:val="21"/>
          <w:highlight w:val="none"/>
        </w:rPr>
        <w:t>（一）投标文件中开标一览表（报价表）内容与投标文件中相应内容不一致的，以开标一览表（报价表）为准；</w:t>
      </w:r>
    </w:p>
    <w:p w14:paraId="657435A8">
      <w:pPr>
        <w:pStyle w:val="19"/>
        <w:rPr>
          <w:rFonts w:hint="eastAsia"/>
          <w:color w:val="auto"/>
          <w:sz w:val="21"/>
          <w:szCs w:val="21"/>
          <w:highlight w:val="none"/>
        </w:rPr>
      </w:pPr>
      <w:r>
        <w:rPr>
          <w:rFonts w:hint="eastAsia"/>
          <w:color w:val="auto"/>
          <w:sz w:val="21"/>
          <w:szCs w:val="21"/>
          <w:highlight w:val="none"/>
        </w:rPr>
        <w:t>（二）大写金额和小写金额不一致的，以大写金额为准；</w:t>
      </w:r>
    </w:p>
    <w:p w14:paraId="363B5821">
      <w:pPr>
        <w:pStyle w:val="19"/>
        <w:rPr>
          <w:rFonts w:hint="eastAsia"/>
          <w:color w:val="auto"/>
          <w:sz w:val="21"/>
          <w:szCs w:val="21"/>
          <w:highlight w:val="none"/>
        </w:rPr>
      </w:pPr>
      <w:r>
        <w:rPr>
          <w:rFonts w:hint="eastAsia"/>
          <w:color w:val="auto"/>
          <w:sz w:val="21"/>
          <w:szCs w:val="21"/>
          <w:highlight w:val="none"/>
        </w:rPr>
        <w:t>（三）单价金额小数点或者百分比有明显错位的，以开标一览表的总价为准，并修改单价；</w:t>
      </w:r>
    </w:p>
    <w:p w14:paraId="1DB0CB9F">
      <w:pPr>
        <w:pStyle w:val="19"/>
        <w:rPr>
          <w:rFonts w:hint="eastAsia"/>
          <w:color w:val="auto"/>
          <w:sz w:val="21"/>
          <w:szCs w:val="21"/>
          <w:highlight w:val="none"/>
        </w:rPr>
      </w:pPr>
      <w:r>
        <w:rPr>
          <w:rFonts w:hint="eastAsia"/>
          <w:color w:val="auto"/>
          <w:sz w:val="21"/>
          <w:szCs w:val="21"/>
          <w:highlight w:val="none"/>
        </w:rPr>
        <w:t>（四）总价金额与按单价汇总金额不一致的，以单价金额计算结果为准。</w:t>
      </w:r>
    </w:p>
    <w:p w14:paraId="2280603D">
      <w:pPr>
        <w:pStyle w:val="19"/>
        <w:rPr>
          <w:rFonts w:hint="eastAsia"/>
          <w:color w:val="auto"/>
          <w:sz w:val="21"/>
          <w:szCs w:val="21"/>
          <w:highlight w:val="none"/>
        </w:rPr>
      </w:pPr>
      <w:r>
        <w:rPr>
          <w:rFonts w:hint="eastAsia"/>
          <w:color w:val="auto"/>
          <w:sz w:val="21"/>
          <w:szCs w:val="21"/>
          <w:highlight w:val="none"/>
        </w:rPr>
        <w:t>★同时出现两种以上不一致的，按照前款规定的顺序修正。修正后的报价按照本章3.2款的规定经投标人确认后产生约束力，投标人不确认的，其投标无效。</w:t>
      </w:r>
    </w:p>
    <w:p w14:paraId="31F8D6F5">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3.2.5</w:t>
      </w:r>
      <w:r>
        <w:rPr>
          <w:rFonts w:ascii="宋体" w:hAnsi="宋体"/>
          <w:color w:val="auto"/>
          <w:szCs w:val="21"/>
          <w:highlight w:val="none"/>
        </w:rPr>
        <w:t>价格部分</w:t>
      </w:r>
      <w:r>
        <w:rPr>
          <w:rFonts w:hint="eastAsia" w:ascii="宋体" w:hAnsi="宋体"/>
          <w:color w:val="auto"/>
          <w:szCs w:val="21"/>
          <w:highlight w:val="none"/>
        </w:rPr>
        <w:t>（F1）</w:t>
      </w:r>
      <w:r>
        <w:rPr>
          <w:rFonts w:ascii="宋体" w:hAnsi="宋体"/>
          <w:color w:val="auto"/>
          <w:szCs w:val="21"/>
          <w:highlight w:val="none"/>
        </w:rPr>
        <w:t>按评标方法前附表规定的</w:t>
      </w:r>
      <w:r>
        <w:rPr>
          <w:rFonts w:hint="eastAsia" w:ascii="宋体" w:hAnsi="宋体"/>
          <w:color w:val="auto"/>
          <w:szCs w:val="21"/>
          <w:highlight w:val="none"/>
        </w:rPr>
        <w:t>投标报价计算公式，计算出各投标人价格部分得分。技术部分（F2）和商务部分（F3）得分由评标委员会成员独立评分，投标</w:t>
      </w:r>
      <w:r>
        <w:rPr>
          <w:rFonts w:hint="eastAsia" w:ascii="宋体" w:hAnsi="宋体"/>
          <w:bCs/>
          <w:color w:val="auto"/>
          <w:szCs w:val="21"/>
          <w:highlight w:val="none"/>
        </w:rPr>
        <w:t>人各项评分因素得分为该项因素各评委评分的算术平均值。所有计算结果均保留小数点后两位</w:t>
      </w:r>
      <w:r>
        <w:rPr>
          <w:rFonts w:ascii="宋体" w:hAnsi="宋体"/>
          <w:color w:val="auto"/>
          <w:szCs w:val="21"/>
          <w:highlight w:val="none"/>
        </w:rPr>
        <w:t>，小数点后第三位“四舍五入”。</w:t>
      </w:r>
    </w:p>
    <w:p w14:paraId="325B43D4">
      <w:pPr>
        <w:snapToGrid w:val="0"/>
        <w:spacing w:line="360" w:lineRule="auto"/>
        <w:jc w:val="left"/>
        <w:rPr>
          <w:rFonts w:hint="eastAsia" w:ascii="宋体" w:hAnsi="宋体"/>
          <w:color w:val="auto"/>
          <w:szCs w:val="21"/>
          <w:highlight w:val="none"/>
        </w:rPr>
      </w:pPr>
      <w:r>
        <w:rPr>
          <w:rFonts w:hint="eastAsia" w:hAnsi="宋体"/>
          <w:color w:val="auto"/>
          <w:szCs w:val="21"/>
          <w:highlight w:val="none"/>
        </w:rPr>
        <w:t>★</w:t>
      </w:r>
      <w:r>
        <w:rPr>
          <w:rFonts w:hint="eastAsia" w:ascii="宋体" w:hAnsi="宋体"/>
          <w:color w:val="auto"/>
          <w:szCs w:val="21"/>
          <w:highlight w:val="none"/>
        </w:rPr>
        <w:t>3.2.6</w:t>
      </w:r>
      <w:r>
        <w:rPr>
          <w:rFonts w:ascii="inherit" w:hAnsi="inherit" w:cs="宋体"/>
          <w:color w:val="auto"/>
          <w:kern w:val="0"/>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245F926">
      <w:pPr>
        <w:pStyle w:val="19"/>
        <w:rPr>
          <w:rFonts w:hint="eastAsia"/>
          <w:b/>
          <w:color w:val="auto"/>
          <w:sz w:val="21"/>
          <w:szCs w:val="21"/>
          <w:highlight w:val="none"/>
        </w:rPr>
      </w:pPr>
      <w:bookmarkStart w:id="209" w:name="_Toc321836412"/>
      <w:r>
        <w:rPr>
          <w:rFonts w:hint="eastAsia"/>
          <w:b/>
          <w:color w:val="auto"/>
          <w:sz w:val="21"/>
          <w:szCs w:val="21"/>
          <w:highlight w:val="none"/>
        </w:rPr>
        <w:t>4</w:t>
      </w:r>
      <w:r>
        <w:rPr>
          <w:b/>
          <w:color w:val="auto"/>
          <w:sz w:val="21"/>
          <w:szCs w:val="21"/>
          <w:highlight w:val="none"/>
        </w:rPr>
        <w:t>. 投标文件的澄清</w:t>
      </w:r>
      <w:bookmarkEnd w:id="209"/>
    </w:p>
    <w:p w14:paraId="01741E8B">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 在评标过程中，评标委员会可以书面形式要求投标人对所提交的投标文件中含义不明确、同类问题表述不一致或者有明显文字和计算错误的内容，进行书面澄清或说明。评标委员会不接受投标人主动提出的澄清、说明。</w:t>
      </w:r>
    </w:p>
    <w:p w14:paraId="5EC47829">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.2 投标人的澄清、说明应当采用书面形式，由法定代表人或其授权的代表签字，</w:t>
      </w:r>
      <w:r>
        <w:rPr>
          <w:rFonts w:hint="eastAsia" w:ascii="宋体" w:hAnsi="宋体"/>
          <w:color w:val="auto"/>
          <w:szCs w:val="21"/>
          <w:highlight w:val="none"/>
        </w:rPr>
        <w:t>澄清事项不得超出投标文件的范围</w:t>
      </w:r>
      <w:r>
        <w:rPr>
          <w:rFonts w:ascii="宋体" w:hAnsi="宋体"/>
          <w:color w:val="auto"/>
          <w:szCs w:val="21"/>
          <w:highlight w:val="none"/>
        </w:rPr>
        <w:t>并不得改变投标文件的实质性内容（算术性错误修正的除外）。投标人的书面澄清、说明属于投标文件的组成部分。</w:t>
      </w:r>
    </w:p>
    <w:p w14:paraId="3242A98B">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 评标委员会对投标人提交的澄清、说明有疑问的，可以要求投标人进一步澄清、说明。</w:t>
      </w:r>
    </w:p>
    <w:p w14:paraId="426F06F9">
      <w:pPr>
        <w:pStyle w:val="19"/>
        <w:rPr>
          <w:rFonts w:hint="eastAsia"/>
          <w:b/>
          <w:color w:val="auto"/>
          <w:sz w:val="21"/>
          <w:szCs w:val="21"/>
          <w:highlight w:val="none"/>
        </w:rPr>
      </w:pPr>
      <w:bookmarkStart w:id="210" w:name="_Toc321836413"/>
      <w:r>
        <w:rPr>
          <w:rFonts w:hint="eastAsia"/>
          <w:b/>
          <w:color w:val="auto"/>
          <w:sz w:val="21"/>
          <w:szCs w:val="21"/>
          <w:highlight w:val="none"/>
        </w:rPr>
        <w:t>5</w:t>
      </w:r>
      <w:r>
        <w:rPr>
          <w:b/>
          <w:color w:val="auto"/>
          <w:sz w:val="21"/>
          <w:szCs w:val="21"/>
          <w:highlight w:val="none"/>
        </w:rPr>
        <w:t>.评标结果</w:t>
      </w:r>
      <w:bookmarkEnd w:id="210"/>
    </w:p>
    <w:p w14:paraId="386B514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.1</w:t>
      </w:r>
      <w:r>
        <w:rPr>
          <w:rFonts w:hint="eastAsia" w:ascii="宋体" w:hAnsi="宋体"/>
          <w:color w:val="auto"/>
          <w:szCs w:val="21"/>
          <w:highlight w:val="none"/>
        </w:rPr>
        <w:t>评标委员会按最终得分由高到低顺序推荐3名中标候选人，并提出书面评标报告</w:t>
      </w:r>
      <w:r>
        <w:rPr>
          <w:rFonts w:ascii="宋体" w:hAnsi="宋体"/>
          <w:color w:val="auto"/>
          <w:szCs w:val="21"/>
          <w:highlight w:val="none"/>
        </w:rPr>
        <w:t>。</w:t>
      </w:r>
    </w:p>
    <w:p w14:paraId="0818F97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采购人根据评标委员会提出的书面评标报告和推荐的中标候选人名单，确定中标人。</w:t>
      </w:r>
    </w:p>
    <w:p w14:paraId="41261AD3">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5.3提供相同品牌产品的不同投标人，评审后得分最高的同品牌投标人获得中标人推荐资格；评审得分相同的，评标委员会将依次按价格部分得分高优先、技术部分得分高优先、商务部分得分高优先的顺序确定；所有得分均相等的，主要技术指标高优先、质保期长优先、交货时间短优先、故障到达时间短优先的顺序确定一个投标人获得中标人推荐资格，其他同品牌投标人不作为中标候选人。</w:t>
      </w:r>
    </w:p>
    <w:p w14:paraId="6DDFE206">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5.4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BEF18D3">
      <w:pPr>
        <w:spacing w:line="360" w:lineRule="auto"/>
        <w:jc w:val="left"/>
        <w:rPr>
          <w:rFonts w:hint="eastAsia" w:ascii="宋体" w:hAnsi="宋体"/>
          <w:color w:val="auto"/>
          <w:szCs w:val="21"/>
          <w:highlight w:val="none"/>
        </w:rPr>
      </w:pPr>
    </w:p>
    <w:sectPr>
      <w:headerReference r:id="rId12" w:type="first"/>
      <w:pgSz w:w="11906" w:h="16838"/>
      <w:pgMar w:top="1134" w:right="1276" w:bottom="1134" w:left="1276" w:header="720" w:footer="720" w:gutter="0"/>
      <w:cols w:space="720" w:num="1"/>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MetaPlusNormal-Caps">
    <w:altName w:val="宋体"/>
    <w:panose1 w:val="00000000000000000000"/>
    <w:charset w:val="86"/>
    <w:family w:val="swiss"/>
    <w:pitch w:val="default"/>
    <w:sig w:usb0="00000000" w:usb1="00000000" w:usb2="0000001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汉仪大黑简K艵.">
    <w:altName w:val="黑体"/>
    <w:panose1 w:val="00000000000000000000"/>
    <w:charset w:val="86"/>
    <w:family w:val="swiss"/>
    <w:pitch w:val="default"/>
    <w:sig w:usb0="00000000" w:usb1="00000000" w:usb2="00000010" w:usb3="00000000" w:csb0="00040000" w:csb1="00000000"/>
  </w:font>
  <w:font w:name="Akzidenz Grotesk BQ">
    <w:altName w:val="宋体"/>
    <w:panose1 w:val="00000000000000000000"/>
    <w:charset w:val="00"/>
    <w:family w:val="swiss"/>
    <w:pitch w:val="default"/>
    <w:sig w:usb0="00000000" w:usb1="00000000" w:usb2="00000010" w:usb3="00000000" w:csb0="00040001" w:csb1="00000000"/>
  </w:font>
  <w:font w:name="RotisSansSerif">
    <w:altName w:val="Corbel"/>
    <w:panose1 w:val="00000000000000000000"/>
    <w:charset w:val="00"/>
    <w:family w:val="swiss"/>
    <w:pitch w:val="default"/>
    <w:sig w:usb0="00000000" w:usb1="00000000" w:usb2="00000000" w:usb3="00000000" w:csb0="00000093" w:csb1="00000000"/>
  </w:font>
  <w:font w:name="Corbel">
    <w:panose1 w:val="020B0503020204020204"/>
    <w:charset w:val="00"/>
    <w:family w:val="auto"/>
    <w:pitch w:val="default"/>
    <w:sig w:usb0="A00002EF" w:usb1="4000A44B" w:usb2="00000000" w:usb3="00000000" w:csb0="2000019F" w:csb1="00000000"/>
  </w:font>
  <w:font w:name="新宋体">
    <w:panose1 w:val="02010609030101010101"/>
    <w:charset w:val="86"/>
    <w:family w:val="modern"/>
    <w:pitch w:val="default"/>
    <w:sig w:usb0="00000283" w:usb1="288F0000" w:usb2="00000006" w:usb3="00000000" w:csb0="00040001" w:csb1="00000000"/>
  </w:font>
  <w:font w:name="MicrosoftYaHei">
    <w:altName w:val="Times New Roman"/>
    <w:panose1 w:val="00000000000000000000"/>
    <w:charset w:val="00"/>
    <w:family w:val="roman"/>
    <w:pitch w:val="default"/>
    <w:sig w:usb0="00000000" w:usb1="00000000" w:usb2="00000000" w:usb3="00000000" w:csb0="00000000" w:csb1="00000000"/>
  </w:font>
  <w:font w:name="inherit">
    <w:altName w:val="Times New Roman"/>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swiss"/>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E28E">
    <w:pPr>
      <w:pStyle w:val="23"/>
      <w:ind w:right="360"/>
      <w:jc w:val="both"/>
    </w:pPr>
    <w:r>
      <w:rPr>
        <w:sz w:val="21"/>
        <w:szCs w:val="21"/>
      </w:rPr>
      <w:drawing>
        <wp:inline distT="0" distB="0" distL="114300" distR="114300">
          <wp:extent cx="1035685" cy="231775"/>
          <wp:effectExtent l="0" t="0" r="635" b="12065"/>
          <wp:docPr id="2" name="图片 2"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01EF">
    <w:pPr>
      <w:pStyle w:val="23"/>
      <w:framePr w:wrap="around" w:vAnchor="text" w:hAnchor="margin" w:xAlign="center" w:y="1"/>
      <w:rPr>
        <w:rStyle w:val="37"/>
      </w:rPr>
    </w:pPr>
    <w:r>
      <w:fldChar w:fldCharType="begin"/>
    </w:r>
    <w:r>
      <w:rPr>
        <w:rStyle w:val="37"/>
      </w:rPr>
      <w:instrText xml:space="preserve">PAGE  </w:instrText>
    </w:r>
    <w:r>
      <w:fldChar w:fldCharType="separate"/>
    </w:r>
    <w:r>
      <w:rPr>
        <w:rStyle w:val="37"/>
      </w:rPr>
      <w:t>73</w:t>
    </w:r>
    <w:r>
      <w:fldChar w:fldCharType="end"/>
    </w:r>
  </w:p>
  <w:p w14:paraId="4812EF89">
    <w:pPr>
      <w:pStyle w:val="23"/>
      <w:ind w:right="360"/>
      <w:rPr>
        <w:sz w:val="21"/>
      </w:rPr>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66675" cy="172720"/>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66675" cy="172720"/>
                      </a:xfrm>
                      <a:prstGeom prst="rect">
                        <a:avLst/>
                      </a:prstGeom>
                      <a:noFill/>
                      <a:ln>
                        <a:noFill/>
                      </a:ln>
                    </wps:spPr>
                    <wps:txbx>
                      <w:txbxContent>
                        <w:p w14:paraId="3DCF5CA6">
                          <w:pPr>
                            <w:pStyle w:val="23"/>
                            <w:rPr>
                              <w:rStyle w:val="37"/>
                              <w:sz w:val="21"/>
                            </w:rPr>
                          </w:pPr>
                          <w:r>
                            <w:rPr>
                              <w:sz w:val="21"/>
                            </w:rPr>
                            <w:fldChar w:fldCharType="begin"/>
                          </w:r>
                          <w:r>
                            <w:rPr>
                              <w:rStyle w:val="37"/>
                              <w:sz w:val="21"/>
                            </w:rPr>
                            <w:instrText xml:space="preserve">Page</w:instrText>
                          </w:r>
                          <w:r>
                            <w:rPr>
                              <w:sz w:val="21"/>
                            </w:rPr>
                            <w:fldChar w:fldCharType="separate"/>
                          </w:r>
                          <w:r>
                            <w:rPr>
                              <w:rStyle w:val="37"/>
                              <w:sz w:val="21"/>
                            </w:rPr>
                            <w:t>73</w:t>
                          </w:r>
                          <w:r>
                            <w:rPr>
                              <w:sz w:val="21"/>
                            </w:rPr>
                            <w:fldChar w:fldCharType="end"/>
                          </w:r>
                        </w:p>
                      </w:txbxContent>
                    </wps:txbx>
                    <wps:bodyPr wrap="square" lIns="0" tIns="0" rIns="0" bIns="0" upright="1"/>
                  </wps:wsp>
                </a:graphicData>
              </a:graphic>
            </wp:anchor>
          </w:drawing>
        </mc:Choice>
        <mc:Fallback>
          <w:pict>
            <v:shape id="_x0000_s1026" o:spid="_x0000_s1026" o:spt="202" type="#_x0000_t202" style="position:absolute;left:0pt;margin-top:0pt;height:13.6pt;width:5.25pt;mso-position-horizontal:right;mso-position-horizontal-relative:margin;mso-wrap-distance-bottom:0pt;mso-wrap-distance-left:0pt;mso-wrap-distance-right:0pt;mso-wrap-distance-top:0pt;z-index:251659264;mso-width-relative:page;mso-height-relative:page;" filled="f" stroked="f" coordsize="21600,21600" o:gfxdata="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0n7CvTAAAAAwEAAA8AAAAAAAAAAQAgAAAAIgAAAGRycy9kb3ducmV2LnhtbFBL&#10;AQIUABQAAAAIAIdO4kD66EbowgEAAH4DAAAOAAAAAAAAAAEAIAAAACIBAABkcnMvZTJvRG9jLnht&#10;bFBLBQYAAAAABgAGAFkBAABWBQAAAAA=&#10;">
              <v:fill on="f" focussize="0,0"/>
              <v:stroke on="f"/>
              <v:imagedata o:title=""/>
              <o:lock v:ext="edit" aspectratio="f"/>
              <v:textbox inset="0mm,0mm,0mm,0mm">
                <w:txbxContent>
                  <w:p w14:paraId="3DCF5CA6">
                    <w:pPr>
                      <w:pStyle w:val="23"/>
                      <w:rPr>
                        <w:rStyle w:val="37"/>
                        <w:sz w:val="21"/>
                      </w:rPr>
                    </w:pPr>
                    <w:r>
                      <w:rPr>
                        <w:sz w:val="21"/>
                      </w:rPr>
                      <w:fldChar w:fldCharType="begin"/>
                    </w:r>
                    <w:r>
                      <w:rPr>
                        <w:rStyle w:val="37"/>
                        <w:sz w:val="21"/>
                      </w:rPr>
                      <w:instrText xml:space="preserve">Page</w:instrText>
                    </w:r>
                    <w:r>
                      <w:rPr>
                        <w:sz w:val="21"/>
                      </w:rPr>
                      <w:fldChar w:fldCharType="separate"/>
                    </w:r>
                    <w:r>
                      <w:rPr>
                        <w:rStyle w:val="37"/>
                        <w:sz w:val="21"/>
                      </w:rPr>
                      <w:t>73</w:t>
                    </w:r>
                    <w:r>
                      <w:rPr>
                        <w:sz w:val="21"/>
                      </w:rPr>
                      <w:fldChar w:fldCharType="end"/>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11AD">
    <w:pPr>
      <w:pStyle w:val="23"/>
    </w:pPr>
    <w:r>
      <w:rPr>
        <w:sz w:val="21"/>
        <w:szCs w:val="21"/>
      </w:rPr>
      <w:drawing>
        <wp:inline distT="0" distB="0" distL="114300" distR="114300">
          <wp:extent cx="1035685" cy="231775"/>
          <wp:effectExtent l="0" t="0" r="635" b="12065"/>
          <wp:docPr id="4" name="图片 3"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1361D">
    <w:pPr>
      <w:pStyle w:val="23"/>
      <w:ind w:right="360"/>
      <w:jc w:val="both"/>
    </w:pPr>
    <w:r>
      <mc:AlternateContent>
        <mc:Choice Requires="wps">
          <w:drawing>
            <wp:anchor distT="0" distB="0" distL="0" distR="0" simplePos="0" relativeHeight="251660288" behindDoc="0" locked="0" layoutInCell="1" allowOverlap="1">
              <wp:simplePos x="0" y="0"/>
              <wp:positionH relativeFrom="margin">
                <wp:align>right</wp:align>
              </wp:positionH>
              <wp:positionV relativeFrom="paragraph">
                <wp:posOffset>0</wp:posOffset>
              </wp:positionV>
              <wp:extent cx="114300" cy="147955"/>
              <wp:effectExtent l="0" t="0" r="0" b="0"/>
              <wp:wrapSquare wrapText="bothSides"/>
              <wp:docPr id="3" name="文本框 3"/>
              <wp:cNvGraphicFramePr/>
              <a:graphic xmlns:a="http://schemas.openxmlformats.org/drawingml/2006/main">
                <a:graphicData uri="http://schemas.microsoft.com/office/word/2010/wordprocessingShape">
                  <wps:wsp>
                    <wps:cNvSpPr txBox="1"/>
                    <wps:spPr>
                      <a:xfrm>
                        <a:off x="0" y="0"/>
                        <a:ext cx="114300" cy="147955"/>
                      </a:xfrm>
                      <a:prstGeom prst="rect">
                        <a:avLst/>
                      </a:prstGeom>
                      <a:noFill/>
                      <a:ln>
                        <a:noFill/>
                      </a:ln>
                    </wps:spPr>
                    <wps:txbx>
                      <w:txbxContent>
                        <w:p w14:paraId="54210AFC">
                          <w:pPr>
                            <w:pStyle w:val="23"/>
                            <w:rPr>
                              <w:rStyle w:val="37"/>
                            </w:rPr>
                          </w:pPr>
                          <w:r>
                            <w:fldChar w:fldCharType="begin"/>
                          </w:r>
                          <w:r>
                            <w:rPr>
                              <w:rStyle w:val="37"/>
                            </w:rPr>
                            <w:instrText xml:space="preserve">Page</w:instrText>
                          </w:r>
                          <w:r>
                            <w:fldChar w:fldCharType="separate"/>
                          </w:r>
                          <w:r>
                            <w:rPr>
                              <w:rStyle w:val="37"/>
                            </w:rPr>
                            <w:t>75</w:t>
                          </w:r>
                          <w:r>
                            <w:fldChar w:fldCharType="end"/>
                          </w:r>
                        </w:p>
                      </w:txbxContent>
                    </wps:txbx>
                    <wps:bodyPr wrap="square" lIns="0" tIns="0" rIns="0" bIns="0" upright="1"/>
                  </wps:wsp>
                </a:graphicData>
              </a:graphic>
            </wp:anchor>
          </w:drawing>
        </mc:Choice>
        <mc:Fallback>
          <w:pict>
            <v:shape id="_x0000_s1026" o:spid="_x0000_s1026" o:spt="202" type="#_x0000_t202" style="position:absolute;left:0pt;margin-top:0pt;height:11.65pt;width:9pt;mso-position-horizontal:right;mso-position-horizontal-relative:margin;mso-wrap-distance-bottom:0pt;mso-wrap-distance-left:0pt;mso-wrap-distance-right:0pt;mso-wrap-distance-top:0pt;z-index:251660288;mso-width-relative:page;mso-height-relative:page;" filled="f" stroked="f" coordsize="21600,21600" o:gfxdata="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A1IGw0wAAAAMBAAAPAAAAAAAAAAEAIAAAACIAAABkcnMvZG93bnJldi54bWxQ&#10;SwECFAAUAAAACACHTuJA5zoULsMBAAB/AwAADgAAAAAAAAABACAAAAAiAQAAZHJzL2Uyb0RvYy54&#10;bWxQSwUGAAAAAAYABgBZAQAAVwUAAAAA&#10;">
              <v:fill on="f" focussize="0,0"/>
              <v:stroke on="f"/>
              <v:imagedata o:title=""/>
              <o:lock v:ext="edit" aspectratio="f"/>
              <v:textbox inset="0mm,0mm,0mm,0mm">
                <w:txbxContent>
                  <w:p w14:paraId="54210AFC">
                    <w:pPr>
                      <w:pStyle w:val="23"/>
                      <w:rPr>
                        <w:rStyle w:val="37"/>
                      </w:rPr>
                    </w:pPr>
                    <w:r>
                      <w:fldChar w:fldCharType="begin"/>
                    </w:r>
                    <w:r>
                      <w:rPr>
                        <w:rStyle w:val="37"/>
                      </w:rPr>
                      <w:instrText xml:space="preserve">Page</w:instrText>
                    </w:r>
                    <w:r>
                      <w:fldChar w:fldCharType="separate"/>
                    </w:r>
                    <w:r>
                      <w:rPr>
                        <w:rStyle w:val="37"/>
                      </w:rPr>
                      <w:t>75</w:t>
                    </w:r>
                    <w:r>
                      <w:fldChar w:fldCharType="end"/>
                    </w:r>
                  </w:p>
                </w:txbxContent>
              </v:textbox>
              <w10:wrap type="square"/>
            </v:shape>
          </w:pict>
        </mc:Fallback>
      </mc:AlternateContent>
    </w:r>
    <w:r>
      <w:rPr>
        <w:sz w:val="21"/>
        <w:szCs w:val="21"/>
      </w:rPr>
      <w:drawing>
        <wp:inline distT="0" distB="0" distL="114300" distR="114300">
          <wp:extent cx="1035685" cy="231775"/>
          <wp:effectExtent l="0" t="0" r="12065" b="15875"/>
          <wp:docPr id="5" name="图片 2"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AFB6F">
    <w:pPr>
      <w:pStyle w:val="23"/>
      <w:jc w:val="right"/>
    </w:pPr>
    <w:r>
      <w:fldChar w:fldCharType="begin"/>
    </w:r>
    <w:r>
      <w:instrText xml:space="preserve"> PAGE   \* MERGEFORMAT </w:instrText>
    </w:r>
    <w:r>
      <w:fldChar w:fldCharType="separate"/>
    </w:r>
    <w:r>
      <w:rPr>
        <w:lang w:val="zh-CN"/>
      </w:rPr>
      <w:t>44</w:t>
    </w:r>
    <w:r>
      <w:fldChar w:fldCharType="end"/>
    </w:r>
  </w:p>
  <w:p w14:paraId="7F4CD199">
    <w:pPr>
      <w:pStyle w:val="23"/>
    </w:pPr>
    <w:r>
      <w:rPr>
        <w:sz w:val="21"/>
        <w:szCs w:val="21"/>
      </w:rPr>
      <w:drawing>
        <wp:inline distT="0" distB="0" distL="114300" distR="114300">
          <wp:extent cx="1035685" cy="231775"/>
          <wp:effectExtent l="0" t="0" r="12065" b="15875"/>
          <wp:docPr id="6" name="图片 3"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4DFF5">
    <w:pPr>
      <w:pStyle w:val="24"/>
      <w:jc w:val="right"/>
    </w:pPr>
    <w:r>
      <w:rPr>
        <w:rFonts w:hint="eastAsia"/>
        <w:sz w:val="21"/>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24D5">
    <w:pPr>
      <w:pStyle w:val="24"/>
      <w:jc w:val="right"/>
    </w:pP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FF02D">
    <w:pPr>
      <w:pStyle w:val="24"/>
      <w:jc w:val="right"/>
    </w:pPr>
    <w:r>
      <w:rPr>
        <w:rFonts w:hint="eastAsia"/>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C5F3">
    <w:pPr>
      <w:pStyle w:val="24"/>
      <w:jc w:val="both"/>
    </w:pPr>
    <w:r>
      <w:rPr>
        <w:rFonts w:hint="eastAsia" w:ascii="宋体"/>
        <w:lang w:val="en-GB"/>
      </w:rPr>
      <w:t xml:space="preserve">（项目名称）                                </w:t>
    </w:r>
    <w:r>
      <w:rPr>
        <w:rFonts w:hint="eastAsia" w:ascii="宋体"/>
      </w:rPr>
      <w:t xml:space="preserve">                                           招标编号：</w:t>
    </w:r>
    <w:r>
      <w:rPr>
        <w:rFonts w:hint="eastAsia" w:ascii="宋体"/>
        <w:bCs/>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186F">
    <w:pPr>
      <w:pStyle w:val="24"/>
      <w:jc w:val="both"/>
    </w:pPr>
    <w:r>
      <w:rPr>
        <w:rFonts w:hint="eastAsia" w:ascii="宋体"/>
        <w:lang w:val="en-GB"/>
      </w:rPr>
      <w:t xml:space="preserve">（项目名称）                                </w:t>
    </w:r>
    <w:r>
      <w:rPr>
        <w:rFonts w:hint="eastAsia" w:ascii="宋体"/>
      </w:rPr>
      <w:t xml:space="preserve">                                           招标编号：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egacy w:legacy="1" w:legacySpace="0" w:legacyIndent="425"/>
      <w:lvlJc w:val="left"/>
      <w:pPr>
        <w:ind w:left="425" w:hanging="425"/>
      </w:pPr>
    </w:lvl>
    <w:lvl w:ilvl="1" w:tentative="0">
      <w:start w:val="1"/>
      <w:numFmt w:val="decimal"/>
      <w:lvlText w:val="%1.%2."/>
      <w:legacy w:legacy="1" w:legacySpace="0" w:legacyIndent="425"/>
      <w:lvlJc w:val="left"/>
      <w:pPr>
        <w:ind w:left="850" w:hanging="425"/>
      </w:pPr>
    </w:lvl>
    <w:lvl w:ilvl="2" w:tentative="0">
      <w:start w:val="1"/>
      <w:numFmt w:val="decimal"/>
      <w:lvlText w:val="%1.%2.%3."/>
      <w:legacy w:legacy="1" w:legacySpace="0" w:legacyIndent="425"/>
      <w:lvlJc w:val="left"/>
      <w:pPr>
        <w:ind w:left="1275" w:hanging="425"/>
      </w:pPr>
    </w:lvl>
    <w:lvl w:ilvl="3" w:tentative="0">
      <w:start w:val="1"/>
      <w:numFmt w:val="decimal"/>
      <w:lvlText w:val="%1.%2.%3.%4."/>
      <w:legacy w:legacy="1" w:legacySpace="0" w:legacyIndent="425"/>
      <w:lvlJc w:val="left"/>
      <w:pPr>
        <w:ind w:left="1700" w:hanging="425"/>
      </w:pPr>
    </w:lvl>
    <w:lvl w:ilvl="4" w:tentative="0">
      <w:start w:val="1"/>
      <w:numFmt w:val="decimal"/>
      <w:pStyle w:val="8"/>
      <w:lvlText w:val="%1.%2.%3.%4.%5."/>
      <w:legacy w:legacy="1" w:legacySpace="0" w:legacyIndent="425"/>
      <w:lvlJc w:val="left"/>
      <w:pPr>
        <w:ind w:left="2125" w:hanging="425"/>
      </w:pPr>
    </w:lvl>
    <w:lvl w:ilvl="5" w:tentative="0">
      <w:start w:val="1"/>
      <w:numFmt w:val="decimal"/>
      <w:lvlText w:val="%1.%2.%3.%4.%5.%6."/>
      <w:legacy w:legacy="1" w:legacySpace="0" w:legacyIndent="425"/>
      <w:lvlJc w:val="left"/>
      <w:pPr>
        <w:ind w:left="2550" w:hanging="425"/>
      </w:pPr>
    </w:lvl>
    <w:lvl w:ilvl="6" w:tentative="0">
      <w:start w:val="1"/>
      <w:numFmt w:val="decimal"/>
      <w:lvlText w:val="%1.%2.%3.%4.%5.%6.%7."/>
      <w:legacy w:legacy="1" w:legacySpace="0" w:legacyIndent="425"/>
      <w:lvlJc w:val="left"/>
      <w:pPr>
        <w:ind w:left="2975" w:hanging="425"/>
      </w:pPr>
    </w:lvl>
    <w:lvl w:ilvl="7" w:tentative="0">
      <w:start w:val="1"/>
      <w:numFmt w:val="decimal"/>
      <w:lvlText w:val="%1.%2.%3.%4.%5.%6.%7.%8."/>
      <w:legacy w:legacy="1" w:legacySpace="0" w:legacyIndent="425"/>
      <w:lvlJc w:val="left"/>
      <w:pPr>
        <w:ind w:left="3400" w:hanging="425"/>
      </w:pPr>
    </w:lvl>
    <w:lvl w:ilvl="8" w:tentative="0">
      <w:start w:val="1"/>
      <w:numFmt w:val="decimal"/>
      <w:lvlText w:val="%1.%2.%3.%4.%5.%6.%7.%8.%9."/>
      <w:legacy w:legacy="1" w:legacySpace="0" w:legacyIndent="425"/>
      <w:lvlJc w:val="left"/>
      <w:pPr>
        <w:ind w:left="3825" w:hanging="425"/>
      </w:pPr>
    </w:lvl>
  </w:abstractNum>
  <w:abstractNum w:abstractNumId="1">
    <w:nsid w:val="4BA2390B"/>
    <w:multiLevelType w:val="multilevel"/>
    <w:tmpl w:val="4BA2390B"/>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66E3E80"/>
    <w:multiLevelType w:val="singleLevel"/>
    <w:tmpl w:val="566E3E80"/>
    <w:lvl w:ilvl="0" w:tentative="0">
      <w:start w:val="1"/>
      <w:numFmt w:val="decimal"/>
      <w:pStyle w:val="134"/>
      <w:suff w:val="nothing"/>
      <w:lvlText w:val="%1、"/>
      <w:lvlJc w:val="left"/>
    </w:lvl>
  </w:abstractNum>
  <w:abstractNum w:abstractNumId="3">
    <w:nsid w:val="63852405"/>
    <w:multiLevelType w:val="multilevel"/>
    <w:tmpl w:val="63852405"/>
    <w:lvl w:ilvl="0" w:tentative="0">
      <w:start w:val="1"/>
      <w:numFmt w:val="decimal"/>
      <w:lvlText w:val="%1."/>
      <w:lvlJc w:val="left"/>
      <w:pPr>
        <w:tabs>
          <w:tab w:val="left" w:pos="779"/>
        </w:tabs>
        <w:ind w:left="779" w:hanging="420"/>
      </w:pPr>
    </w:lvl>
    <w:lvl w:ilvl="1" w:tentative="0">
      <w:start w:val="1"/>
      <w:numFmt w:val="lowerLetter"/>
      <w:pStyle w:val="135"/>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IxODBhYTU2OTg2YWQwYTI4YTY0MTUwM2Y0YmVmOTcifQ=="/>
  </w:docVars>
  <w:rsids>
    <w:rsidRoot w:val="002647EC"/>
    <w:rsid w:val="00000CA6"/>
    <w:rsid w:val="00001277"/>
    <w:rsid w:val="00001B50"/>
    <w:rsid w:val="00001C1C"/>
    <w:rsid w:val="00001C4B"/>
    <w:rsid w:val="00001F08"/>
    <w:rsid w:val="0000237F"/>
    <w:rsid w:val="00004095"/>
    <w:rsid w:val="0000427F"/>
    <w:rsid w:val="0000490B"/>
    <w:rsid w:val="00004999"/>
    <w:rsid w:val="000049C2"/>
    <w:rsid w:val="00004B15"/>
    <w:rsid w:val="000061F3"/>
    <w:rsid w:val="000109D9"/>
    <w:rsid w:val="00010E5B"/>
    <w:rsid w:val="00011084"/>
    <w:rsid w:val="0001168B"/>
    <w:rsid w:val="00011A87"/>
    <w:rsid w:val="00011E5C"/>
    <w:rsid w:val="00011E67"/>
    <w:rsid w:val="00012406"/>
    <w:rsid w:val="000124CE"/>
    <w:rsid w:val="000127DF"/>
    <w:rsid w:val="00012B03"/>
    <w:rsid w:val="00012B1D"/>
    <w:rsid w:val="0001376C"/>
    <w:rsid w:val="0001416D"/>
    <w:rsid w:val="00014AE9"/>
    <w:rsid w:val="00014C89"/>
    <w:rsid w:val="00014CD9"/>
    <w:rsid w:val="00014D21"/>
    <w:rsid w:val="00015236"/>
    <w:rsid w:val="00015289"/>
    <w:rsid w:val="000157C2"/>
    <w:rsid w:val="00016929"/>
    <w:rsid w:val="00017174"/>
    <w:rsid w:val="000176C4"/>
    <w:rsid w:val="00017C9C"/>
    <w:rsid w:val="00017DC3"/>
    <w:rsid w:val="00020431"/>
    <w:rsid w:val="000207C3"/>
    <w:rsid w:val="0002200A"/>
    <w:rsid w:val="0002219D"/>
    <w:rsid w:val="000234A0"/>
    <w:rsid w:val="000234FA"/>
    <w:rsid w:val="000237A5"/>
    <w:rsid w:val="00023860"/>
    <w:rsid w:val="00023927"/>
    <w:rsid w:val="00023FBC"/>
    <w:rsid w:val="00024F7A"/>
    <w:rsid w:val="00024FD7"/>
    <w:rsid w:val="0002524F"/>
    <w:rsid w:val="000256B5"/>
    <w:rsid w:val="00025AC4"/>
    <w:rsid w:val="00025BA8"/>
    <w:rsid w:val="00025C37"/>
    <w:rsid w:val="0002629E"/>
    <w:rsid w:val="00026569"/>
    <w:rsid w:val="0002753A"/>
    <w:rsid w:val="0002758B"/>
    <w:rsid w:val="000276C4"/>
    <w:rsid w:val="00027D06"/>
    <w:rsid w:val="00027E1F"/>
    <w:rsid w:val="00030EC1"/>
    <w:rsid w:val="0003130D"/>
    <w:rsid w:val="0003210F"/>
    <w:rsid w:val="00032803"/>
    <w:rsid w:val="00032A9F"/>
    <w:rsid w:val="00032D5C"/>
    <w:rsid w:val="00035CCA"/>
    <w:rsid w:val="000366DC"/>
    <w:rsid w:val="000369F6"/>
    <w:rsid w:val="00036A00"/>
    <w:rsid w:val="000376EF"/>
    <w:rsid w:val="00041461"/>
    <w:rsid w:val="00041AE5"/>
    <w:rsid w:val="00042E4E"/>
    <w:rsid w:val="00042FF8"/>
    <w:rsid w:val="00043330"/>
    <w:rsid w:val="000433EE"/>
    <w:rsid w:val="000433F5"/>
    <w:rsid w:val="0004398D"/>
    <w:rsid w:val="000448C0"/>
    <w:rsid w:val="000448E1"/>
    <w:rsid w:val="00045887"/>
    <w:rsid w:val="00045A07"/>
    <w:rsid w:val="00045B84"/>
    <w:rsid w:val="00045F15"/>
    <w:rsid w:val="00046568"/>
    <w:rsid w:val="000465E2"/>
    <w:rsid w:val="00047070"/>
    <w:rsid w:val="00047150"/>
    <w:rsid w:val="0004770F"/>
    <w:rsid w:val="000477EF"/>
    <w:rsid w:val="00047C59"/>
    <w:rsid w:val="00050498"/>
    <w:rsid w:val="00050AA6"/>
    <w:rsid w:val="000515E0"/>
    <w:rsid w:val="00051798"/>
    <w:rsid w:val="0005187F"/>
    <w:rsid w:val="00052761"/>
    <w:rsid w:val="00052821"/>
    <w:rsid w:val="00052DA3"/>
    <w:rsid w:val="00052DD4"/>
    <w:rsid w:val="000536C5"/>
    <w:rsid w:val="00053D47"/>
    <w:rsid w:val="0005482E"/>
    <w:rsid w:val="000548B1"/>
    <w:rsid w:val="000556A6"/>
    <w:rsid w:val="0005699F"/>
    <w:rsid w:val="00056F2B"/>
    <w:rsid w:val="00057008"/>
    <w:rsid w:val="00057F0C"/>
    <w:rsid w:val="00060482"/>
    <w:rsid w:val="00060EF9"/>
    <w:rsid w:val="0006120B"/>
    <w:rsid w:val="00061845"/>
    <w:rsid w:val="000629E1"/>
    <w:rsid w:val="00062E1F"/>
    <w:rsid w:val="00063CA6"/>
    <w:rsid w:val="000641EB"/>
    <w:rsid w:val="00064A94"/>
    <w:rsid w:val="00064E95"/>
    <w:rsid w:val="0006552A"/>
    <w:rsid w:val="000657A1"/>
    <w:rsid w:val="00065826"/>
    <w:rsid w:val="000660D1"/>
    <w:rsid w:val="00066418"/>
    <w:rsid w:val="00066602"/>
    <w:rsid w:val="000668EE"/>
    <w:rsid w:val="00066B26"/>
    <w:rsid w:val="000673EB"/>
    <w:rsid w:val="00067422"/>
    <w:rsid w:val="00070148"/>
    <w:rsid w:val="00070976"/>
    <w:rsid w:val="00070DA0"/>
    <w:rsid w:val="00070E35"/>
    <w:rsid w:val="0007141C"/>
    <w:rsid w:val="00071648"/>
    <w:rsid w:val="00071651"/>
    <w:rsid w:val="000719A2"/>
    <w:rsid w:val="00071FE9"/>
    <w:rsid w:val="00072C1F"/>
    <w:rsid w:val="00072D3F"/>
    <w:rsid w:val="00072F7F"/>
    <w:rsid w:val="000733C3"/>
    <w:rsid w:val="00073B26"/>
    <w:rsid w:val="00073E52"/>
    <w:rsid w:val="000742DC"/>
    <w:rsid w:val="000744EB"/>
    <w:rsid w:val="00074796"/>
    <w:rsid w:val="00074C6C"/>
    <w:rsid w:val="00075DF9"/>
    <w:rsid w:val="000767CF"/>
    <w:rsid w:val="00076EDB"/>
    <w:rsid w:val="00077128"/>
    <w:rsid w:val="00077480"/>
    <w:rsid w:val="00077A15"/>
    <w:rsid w:val="00077C72"/>
    <w:rsid w:val="0008016B"/>
    <w:rsid w:val="0008019C"/>
    <w:rsid w:val="0008033A"/>
    <w:rsid w:val="00080AAB"/>
    <w:rsid w:val="000816CB"/>
    <w:rsid w:val="0008186D"/>
    <w:rsid w:val="00081944"/>
    <w:rsid w:val="0008239B"/>
    <w:rsid w:val="000823C3"/>
    <w:rsid w:val="0008275D"/>
    <w:rsid w:val="00082948"/>
    <w:rsid w:val="00082BB4"/>
    <w:rsid w:val="00082C4B"/>
    <w:rsid w:val="000830A4"/>
    <w:rsid w:val="0008332D"/>
    <w:rsid w:val="0008363D"/>
    <w:rsid w:val="000851FE"/>
    <w:rsid w:val="0008557E"/>
    <w:rsid w:val="000857B0"/>
    <w:rsid w:val="00086855"/>
    <w:rsid w:val="00086AD3"/>
    <w:rsid w:val="00086E3F"/>
    <w:rsid w:val="00086FFD"/>
    <w:rsid w:val="00087195"/>
    <w:rsid w:val="00087655"/>
    <w:rsid w:val="00087F30"/>
    <w:rsid w:val="00090781"/>
    <w:rsid w:val="0009098F"/>
    <w:rsid w:val="00090DEE"/>
    <w:rsid w:val="000919B4"/>
    <w:rsid w:val="00091F63"/>
    <w:rsid w:val="00093237"/>
    <w:rsid w:val="00093327"/>
    <w:rsid w:val="0009363A"/>
    <w:rsid w:val="00093EC3"/>
    <w:rsid w:val="00093EE5"/>
    <w:rsid w:val="0009459B"/>
    <w:rsid w:val="00094796"/>
    <w:rsid w:val="00094820"/>
    <w:rsid w:val="000950FB"/>
    <w:rsid w:val="000953B3"/>
    <w:rsid w:val="00096620"/>
    <w:rsid w:val="0009757D"/>
    <w:rsid w:val="000A00E6"/>
    <w:rsid w:val="000A0D8F"/>
    <w:rsid w:val="000A1A45"/>
    <w:rsid w:val="000A1AD7"/>
    <w:rsid w:val="000A1F81"/>
    <w:rsid w:val="000A2644"/>
    <w:rsid w:val="000A26DB"/>
    <w:rsid w:val="000A2745"/>
    <w:rsid w:val="000A2B8E"/>
    <w:rsid w:val="000A2B92"/>
    <w:rsid w:val="000A32D8"/>
    <w:rsid w:val="000A3D46"/>
    <w:rsid w:val="000A421E"/>
    <w:rsid w:val="000A48FE"/>
    <w:rsid w:val="000A499E"/>
    <w:rsid w:val="000A4ADA"/>
    <w:rsid w:val="000A51EE"/>
    <w:rsid w:val="000A544B"/>
    <w:rsid w:val="000A5626"/>
    <w:rsid w:val="000A5651"/>
    <w:rsid w:val="000A5833"/>
    <w:rsid w:val="000A5DB5"/>
    <w:rsid w:val="000A5F55"/>
    <w:rsid w:val="000A6DE1"/>
    <w:rsid w:val="000A6E6A"/>
    <w:rsid w:val="000A710B"/>
    <w:rsid w:val="000A7466"/>
    <w:rsid w:val="000A7532"/>
    <w:rsid w:val="000A77FB"/>
    <w:rsid w:val="000A7CFC"/>
    <w:rsid w:val="000B0B38"/>
    <w:rsid w:val="000B0F33"/>
    <w:rsid w:val="000B1AE8"/>
    <w:rsid w:val="000B1F44"/>
    <w:rsid w:val="000B1FBC"/>
    <w:rsid w:val="000B2B03"/>
    <w:rsid w:val="000B2D75"/>
    <w:rsid w:val="000B30F3"/>
    <w:rsid w:val="000B3278"/>
    <w:rsid w:val="000B3ED6"/>
    <w:rsid w:val="000B423E"/>
    <w:rsid w:val="000B4BAC"/>
    <w:rsid w:val="000B4EFD"/>
    <w:rsid w:val="000B4F17"/>
    <w:rsid w:val="000B65E5"/>
    <w:rsid w:val="000B6B5F"/>
    <w:rsid w:val="000B6CC8"/>
    <w:rsid w:val="000B7B23"/>
    <w:rsid w:val="000C0334"/>
    <w:rsid w:val="000C0A0D"/>
    <w:rsid w:val="000C16F5"/>
    <w:rsid w:val="000C2235"/>
    <w:rsid w:val="000C2657"/>
    <w:rsid w:val="000C2740"/>
    <w:rsid w:val="000C2E0A"/>
    <w:rsid w:val="000C2F95"/>
    <w:rsid w:val="000C305F"/>
    <w:rsid w:val="000C356E"/>
    <w:rsid w:val="000C3B0A"/>
    <w:rsid w:val="000C3F42"/>
    <w:rsid w:val="000C3FDC"/>
    <w:rsid w:val="000C4274"/>
    <w:rsid w:val="000C49B1"/>
    <w:rsid w:val="000C4CC3"/>
    <w:rsid w:val="000C5F0A"/>
    <w:rsid w:val="000C602C"/>
    <w:rsid w:val="000C6639"/>
    <w:rsid w:val="000C68E0"/>
    <w:rsid w:val="000C7047"/>
    <w:rsid w:val="000C75EA"/>
    <w:rsid w:val="000C7645"/>
    <w:rsid w:val="000C7C66"/>
    <w:rsid w:val="000D1644"/>
    <w:rsid w:val="000D1AF1"/>
    <w:rsid w:val="000D1DF0"/>
    <w:rsid w:val="000D1F72"/>
    <w:rsid w:val="000D2015"/>
    <w:rsid w:val="000D2C10"/>
    <w:rsid w:val="000D2D6B"/>
    <w:rsid w:val="000D3C42"/>
    <w:rsid w:val="000D43BA"/>
    <w:rsid w:val="000D47FC"/>
    <w:rsid w:val="000D4BAB"/>
    <w:rsid w:val="000D4EC3"/>
    <w:rsid w:val="000D53D3"/>
    <w:rsid w:val="000D5EE1"/>
    <w:rsid w:val="000D6320"/>
    <w:rsid w:val="000D72BD"/>
    <w:rsid w:val="000D7A20"/>
    <w:rsid w:val="000D7D5F"/>
    <w:rsid w:val="000D7F79"/>
    <w:rsid w:val="000E01B0"/>
    <w:rsid w:val="000E0A2A"/>
    <w:rsid w:val="000E1D4A"/>
    <w:rsid w:val="000E215B"/>
    <w:rsid w:val="000E2A69"/>
    <w:rsid w:val="000E2C04"/>
    <w:rsid w:val="000E2C92"/>
    <w:rsid w:val="000E3161"/>
    <w:rsid w:val="000E33BC"/>
    <w:rsid w:val="000E3B85"/>
    <w:rsid w:val="000E437E"/>
    <w:rsid w:val="000E517B"/>
    <w:rsid w:val="000E5B6E"/>
    <w:rsid w:val="000E70CA"/>
    <w:rsid w:val="000E744C"/>
    <w:rsid w:val="000F1BCB"/>
    <w:rsid w:val="000F2072"/>
    <w:rsid w:val="000F23A6"/>
    <w:rsid w:val="000F2E5A"/>
    <w:rsid w:val="000F3184"/>
    <w:rsid w:val="000F35CB"/>
    <w:rsid w:val="000F36A7"/>
    <w:rsid w:val="000F38A4"/>
    <w:rsid w:val="000F3BB7"/>
    <w:rsid w:val="000F3D69"/>
    <w:rsid w:val="000F3FEA"/>
    <w:rsid w:val="000F42CA"/>
    <w:rsid w:val="000F446A"/>
    <w:rsid w:val="000F5083"/>
    <w:rsid w:val="000F5DC6"/>
    <w:rsid w:val="000F6178"/>
    <w:rsid w:val="000F6482"/>
    <w:rsid w:val="000F6E5C"/>
    <w:rsid w:val="000F7DFC"/>
    <w:rsid w:val="0010091A"/>
    <w:rsid w:val="00100D6C"/>
    <w:rsid w:val="00100D79"/>
    <w:rsid w:val="00101518"/>
    <w:rsid w:val="001016A2"/>
    <w:rsid w:val="0010192C"/>
    <w:rsid w:val="0010225C"/>
    <w:rsid w:val="00102489"/>
    <w:rsid w:val="001024FF"/>
    <w:rsid w:val="0010291C"/>
    <w:rsid w:val="00102B12"/>
    <w:rsid w:val="00102DDE"/>
    <w:rsid w:val="00102FE7"/>
    <w:rsid w:val="001031EA"/>
    <w:rsid w:val="001033BC"/>
    <w:rsid w:val="00103485"/>
    <w:rsid w:val="001035B7"/>
    <w:rsid w:val="00103618"/>
    <w:rsid w:val="00103E7A"/>
    <w:rsid w:val="00104697"/>
    <w:rsid w:val="0010569D"/>
    <w:rsid w:val="0010589A"/>
    <w:rsid w:val="001060D8"/>
    <w:rsid w:val="00106141"/>
    <w:rsid w:val="0010618A"/>
    <w:rsid w:val="00106258"/>
    <w:rsid w:val="0010669F"/>
    <w:rsid w:val="0010697C"/>
    <w:rsid w:val="00106B01"/>
    <w:rsid w:val="00106BCB"/>
    <w:rsid w:val="00106BD6"/>
    <w:rsid w:val="00106C09"/>
    <w:rsid w:val="00107F33"/>
    <w:rsid w:val="00110494"/>
    <w:rsid w:val="0011133A"/>
    <w:rsid w:val="0011197E"/>
    <w:rsid w:val="00111C17"/>
    <w:rsid w:val="00111E09"/>
    <w:rsid w:val="001124B7"/>
    <w:rsid w:val="00113295"/>
    <w:rsid w:val="00113A32"/>
    <w:rsid w:val="00113EF4"/>
    <w:rsid w:val="0011463B"/>
    <w:rsid w:val="00114655"/>
    <w:rsid w:val="00114BBC"/>
    <w:rsid w:val="00114C5D"/>
    <w:rsid w:val="001153A2"/>
    <w:rsid w:val="00115CE8"/>
    <w:rsid w:val="00116467"/>
    <w:rsid w:val="00116825"/>
    <w:rsid w:val="00117925"/>
    <w:rsid w:val="00117A59"/>
    <w:rsid w:val="00117F04"/>
    <w:rsid w:val="00120209"/>
    <w:rsid w:val="0012026C"/>
    <w:rsid w:val="0012070E"/>
    <w:rsid w:val="0012073C"/>
    <w:rsid w:val="001208FE"/>
    <w:rsid w:val="00120B19"/>
    <w:rsid w:val="00120FD4"/>
    <w:rsid w:val="001217E2"/>
    <w:rsid w:val="00121A67"/>
    <w:rsid w:val="00121EF3"/>
    <w:rsid w:val="00122D06"/>
    <w:rsid w:val="00122D6D"/>
    <w:rsid w:val="001233F0"/>
    <w:rsid w:val="00123895"/>
    <w:rsid w:val="00124815"/>
    <w:rsid w:val="00124C5A"/>
    <w:rsid w:val="00125302"/>
    <w:rsid w:val="00126488"/>
    <w:rsid w:val="001266D1"/>
    <w:rsid w:val="001267F6"/>
    <w:rsid w:val="00126C2D"/>
    <w:rsid w:val="00126CF4"/>
    <w:rsid w:val="00126F05"/>
    <w:rsid w:val="001277E4"/>
    <w:rsid w:val="0013055D"/>
    <w:rsid w:val="00130CAF"/>
    <w:rsid w:val="00132815"/>
    <w:rsid w:val="00133005"/>
    <w:rsid w:val="00133DDC"/>
    <w:rsid w:val="00134693"/>
    <w:rsid w:val="00134A1D"/>
    <w:rsid w:val="00134C45"/>
    <w:rsid w:val="001350C8"/>
    <w:rsid w:val="001358F1"/>
    <w:rsid w:val="001363A5"/>
    <w:rsid w:val="001364B3"/>
    <w:rsid w:val="00136D89"/>
    <w:rsid w:val="001401A2"/>
    <w:rsid w:val="00140624"/>
    <w:rsid w:val="001420A7"/>
    <w:rsid w:val="001422BE"/>
    <w:rsid w:val="001424B6"/>
    <w:rsid w:val="001425DB"/>
    <w:rsid w:val="001425FB"/>
    <w:rsid w:val="00142D3D"/>
    <w:rsid w:val="00142F50"/>
    <w:rsid w:val="001438E4"/>
    <w:rsid w:val="00143B58"/>
    <w:rsid w:val="00143D9E"/>
    <w:rsid w:val="00143F62"/>
    <w:rsid w:val="00144004"/>
    <w:rsid w:val="0014467C"/>
    <w:rsid w:val="00144CBE"/>
    <w:rsid w:val="001455AD"/>
    <w:rsid w:val="00145612"/>
    <w:rsid w:val="00146174"/>
    <w:rsid w:val="001467D4"/>
    <w:rsid w:val="00146FD3"/>
    <w:rsid w:val="00147923"/>
    <w:rsid w:val="00147E24"/>
    <w:rsid w:val="001505AF"/>
    <w:rsid w:val="0015145E"/>
    <w:rsid w:val="00151C18"/>
    <w:rsid w:val="001522B8"/>
    <w:rsid w:val="001522DE"/>
    <w:rsid w:val="00152310"/>
    <w:rsid w:val="001529FB"/>
    <w:rsid w:val="00153195"/>
    <w:rsid w:val="00153D25"/>
    <w:rsid w:val="00154167"/>
    <w:rsid w:val="0015416A"/>
    <w:rsid w:val="00154A59"/>
    <w:rsid w:val="00154A5B"/>
    <w:rsid w:val="00154D1B"/>
    <w:rsid w:val="0015531F"/>
    <w:rsid w:val="00155605"/>
    <w:rsid w:val="001562E1"/>
    <w:rsid w:val="00156A2B"/>
    <w:rsid w:val="0015704D"/>
    <w:rsid w:val="00157238"/>
    <w:rsid w:val="00157BBB"/>
    <w:rsid w:val="00160054"/>
    <w:rsid w:val="001600AF"/>
    <w:rsid w:val="001600B6"/>
    <w:rsid w:val="00160393"/>
    <w:rsid w:val="00161121"/>
    <w:rsid w:val="00162403"/>
    <w:rsid w:val="001630E2"/>
    <w:rsid w:val="00163195"/>
    <w:rsid w:val="001646F4"/>
    <w:rsid w:val="0016488C"/>
    <w:rsid w:val="00164B80"/>
    <w:rsid w:val="00164D7D"/>
    <w:rsid w:val="00165F94"/>
    <w:rsid w:val="00166EE5"/>
    <w:rsid w:val="00167E7D"/>
    <w:rsid w:val="0017031D"/>
    <w:rsid w:val="00170CD4"/>
    <w:rsid w:val="00170F2C"/>
    <w:rsid w:val="0017191F"/>
    <w:rsid w:val="00171938"/>
    <w:rsid w:val="00171A8B"/>
    <w:rsid w:val="00171E01"/>
    <w:rsid w:val="00171F7E"/>
    <w:rsid w:val="001720AC"/>
    <w:rsid w:val="00172430"/>
    <w:rsid w:val="001724D3"/>
    <w:rsid w:val="00172E29"/>
    <w:rsid w:val="0017335D"/>
    <w:rsid w:val="001739CF"/>
    <w:rsid w:val="001739D1"/>
    <w:rsid w:val="00174385"/>
    <w:rsid w:val="001747EF"/>
    <w:rsid w:val="001747FF"/>
    <w:rsid w:val="0017504F"/>
    <w:rsid w:val="001752C0"/>
    <w:rsid w:val="00175322"/>
    <w:rsid w:val="00175C85"/>
    <w:rsid w:val="00175D05"/>
    <w:rsid w:val="001764E1"/>
    <w:rsid w:val="001767B8"/>
    <w:rsid w:val="00176CD4"/>
    <w:rsid w:val="00176E89"/>
    <w:rsid w:val="00176EDA"/>
    <w:rsid w:val="00177E06"/>
    <w:rsid w:val="00180190"/>
    <w:rsid w:val="00180B5D"/>
    <w:rsid w:val="00182000"/>
    <w:rsid w:val="00182366"/>
    <w:rsid w:val="00182DE7"/>
    <w:rsid w:val="00183520"/>
    <w:rsid w:val="001842A0"/>
    <w:rsid w:val="001845B8"/>
    <w:rsid w:val="001846DF"/>
    <w:rsid w:val="00185651"/>
    <w:rsid w:val="00185A82"/>
    <w:rsid w:val="00185B33"/>
    <w:rsid w:val="00185E76"/>
    <w:rsid w:val="00186590"/>
    <w:rsid w:val="001900F1"/>
    <w:rsid w:val="00190255"/>
    <w:rsid w:val="00190D4D"/>
    <w:rsid w:val="00191725"/>
    <w:rsid w:val="00191895"/>
    <w:rsid w:val="00192197"/>
    <w:rsid w:val="00192AB6"/>
    <w:rsid w:val="001937B9"/>
    <w:rsid w:val="00193CB5"/>
    <w:rsid w:val="0019428E"/>
    <w:rsid w:val="00194B91"/>
    <w:rsid w:val="00195067"/>
    <w:rsid w:val="001959CD"/>
    <w:rsid w:val="00195CD5"/>
    <w:rsid w:val="00195FEB"/>
    <w:rsid w:val="0019630B"/>
    <w:rsid w:val="001965D4"/>
    <w:rsid w:val="00196FC5"/>
    <w:rsid w:val="00197093"/>
    <w:rsid w:val="00197ACC"/>
    <w:rsid w:val="001A0230"/>
    <w:rsid w:val="001A269D"/>
    <w:rsid w:val="001A28E8"/>
    <w:rsid w:val="001A2EFD"/>
    <w:rsid w:val="001A3311"/>
    <w:rsid w:val="001A40EF"/>
    <w:rsid w:val="001A428D"/>
    <w:rsid w:val="001A436C"/>
    <w:rsid w:val="001A4946"/>
    <w:rsid w:val="001A4AE7"/>
    <w:rsid w:val="001A5085"/>
    <w:rsid w:val="001A572C"/>
    <w:rsid w:val="001A677D"/>
    <w:rsid w:val="001A68F6"/>
    <w:rsid w:val="001A68F9"/>
    <w:rsid w:val="001A6C44"/>
    <w:rsid w:val="001A78A3"/>
    <w:rsid w:val="001A7CC8"/>
    <w:rsid w:val="001A7FF4"/>
    <w:rsid w:val="001B011F"/>
    <w:rsid w:val="001B0CCE"/>
    <w:rsid w:val="001B125E"/>
    <w:rsid w:val="001B1707"/>
    <w:rsid w:val="001B23EE"/>
    <w:rsid w:val="001B2EBB"/>
    <w:rsid w:val="001B337B"/>
    <w:rsid w:val="001B35F9"/>
    <w:rsid w:val="001B396E"/>
    <w:rsid w:val="001B40A8"/>
    <w:rsid w:val="001B45DB"/>
    <w:rsid w:val="001B489A"/>
    <w:rsid w:val="001B4903"/>
    <w:rsid w:val="001B4996"/>
    <w:rsid w:val="001B4F0A"/>
    <w:rsid w:val="001B5628"/>
    <w:rsid w:val="001B66C4"/>
    <w:rsid w:val="001B67DB"/>
    <w:rsid w:val="001B6BBE"/>
    <w:rsid w:val="001B6E69"/>
    <w:rsid w:val="001B6E7B"/>
    <w:rsid w:val="001B6F30"/>
    <w:rsid w:val="001B7114"/>
    <w:rsid w:val="001B75E2"/>
    <w:rsid w:val="001B7701"/>
    <w:rsid w:val="001B7BBE"/>
    <w:rsid w:val="001C070D"/>
    <w:rsid w:val="001C0D8F"/>
    <w:rsid w:val="001C1699"/>
    <w:rsid w:val="001C1ECE"/>
    <w:rsid w:val="001C20BF"/>
    <w:rsid w:val="001C20D2"/>
    <w:rsid w:val="001C2692"/>
    <w:rsid w:val="001C2EFB"/>
    <w:rsid w:val="001C3465"/>
    <w:rsid w:val="001C3F46"/>
    <w:rsid w:val="001C42F9"/>
    <w:rsid w:val="001C43D6"/>
    <w:rsid w:val="001C454B"/>
    <w:rsid w:val="001C4B6B"/>
    <w:rsid w:val="001C4D08"/>
    <w:rsid w:val="001C538F"/>
    <w:rsid w:val="001C5879"/>
    <w:rsid w:val="001C5E48"/>
    <w:rsid w:val="001C6094"/>
    <w:rsid w:val="001C65DA"/>
    <w:rsid w:val="001C6969"/>
    <w:rsid w:val="001C6C59"/>
    <w:rsid w:val="001D03C2"/>
    <w:rsid w:val="001D04D4"/>
    <w:rsid w:val="001D0C10"/>
    <w:rsid w:val="001D0F0B"/>
    <w:rsid w:val="001D1511"/>
    <w:rsid w:val="001D1EBF"/>
    <w:rsid w:val="001D243E"/>
    <w:rsid w:val="001D27AE"/>
    <w:rsid w:val="001D2E5A"/>
    <w:rsid w:val="001D498F"/>
    <w:rsid w:val="001D4A67"/>
    <w:rsid w:val="001D4EFA"/>
    <w:rsid w:val="001D51B9"/>
    <w:rsid w:val="001D5C56"/>
    <w:rsid w:val="001D6321"/>
    <w:rsid w:val="001D6C5C"/>
    <w:rsid w:val="001D6C68"/>
    <w:rsid w:val="001D7BF1"/>
    <w:rsid w:val="001E0194"/>
    <w:rsid w:val="001E08AC"/>
    <w:rsid w:val="001E0D68"/>
    <w:rsid w:val="001E1266"/>
    <w:rsid w:val="001E131A"/>
    <w:rsid w:val="001E1624"/>
    <w:rsid w:val="001E1699"/>
    <w:rsid w:val="001E1853"/>
    <w:rsid w:val="001E1B1A"/>
    <w:rsid w:val="001E2754"/>
    <w:rsid w:val="001E2804"/>
    <w:rsid w:val="001E381C"/>
    <w:rsid w:val="001E3979"/>
    <w:rsid w:val="001E3EA1"/>
    <w:rsid w:val="001E3FA9"/>
    <w:rsid w:val="001E4081"/>
    <w:rsid w:val="001E41B6"/>
    <w:rsid w:val="001E45B7"/>
    <w:rsid w:val="001E5088"/>
    <w:rsid w:val="001E5545"/>
    <w:rsid w:val="001E73D0"/>
    <w:rsid w:val="001E752A"/>
    <w:rsid w:val="001E7BAA"/>
    <w:rsid w:val="001E7DA1"/>
    <w:rsid w:val="001F0091"/>
    <w:rsid w:val="001F0D2C"/>
    <w:rsid w:val="001F2B87"/>
    <w:rsid w:val="001F2E9C"/>
    <w:rsid w:val="001F35B6"/>
    <w:rsid w:val="001F3787"/>
    <w:rsid w:val="001F3DEC"/>
    <w:rsid w:val="001F41EA"/>
    <w:rsid w:val="001F4C11"/>
    <w:rsid w:val="001F51F1"/>
    <w:rsid w:val="001F595B"/>
    <w:rsid w:val="001F5BD2"/>
    <w:rsid w:val="001F5DC8"/>
    <w:rsid w:val="001F7A37"/>
    <w:rsid w:val="001F7D09"/>
    <w:rsid w:val="00200453"/>
    <w:rsid w:val="002011A8"/>
    <w:rsid w:val="0020152B"/>
    <w:rsid w:val="00201817"/>
    <w:rsid w:val="00201D07"/>
    <w:rsid w:val="002020DE"/>
    <w:rsid w:val="00203111"/>
    <w:rsid w:val="00203F1F"/>
    <w:rsid w:val="002043FD"/>
    <w:rsid w:val="002044EE"/>
    <w:rsid w:val="00204932"/>
    <w:rsid w:val="00205803"/>
    <w:rsid w:val="00205E97"/>
    <w:rsid w:val="00205F56"/>
    <w:rsid w:val="0020636E"/>
    <w:rsid w:val="0020679B"/>
    <w:rsid w:val="00206BB0"/>
    <w:rsid w:val="00206BF1"/>
    <w:rsid w:val="00206F4A"/>
    <w:rsid w:val="0020702C"/>
    <w:rsid w:val="00207295"/>
    <w:rsid w:val="002073CA"/>
    <w:rsid w:val="00207665"/>
    <w:rsid w:val="002078CE"/>
    <w:rsid w:val="00207C57"/>
    <w:rsid w:val="00210296"/>
    <w:rsid w:val="002108EC"/>
    <w:rsid w:val="0021167D"/>
    <w:rsid w:val="002117AF"/>
    <w:rsid w:val="0021266E"/>
    <w:rsid w:val="0021359C"/>
    <w:rsid w:val="0021367A"/>
    <w:rsid w:val="00213DD6"/>
    <w:rsid w:val="00213DEA"/>
    <w:rsid w:val="00215143"/>
    <w:rsid w:val="00215284"/>
    <w:rsid w:val="0021543A"/>
    <w:rsid w:val="00215918"/>
    <w:rsid w:val="00215945"/>
    <w:rsid w:val="002159F3"/>
    <w:rsid w:val="0021693A"/>
    <w:rsid w:val="002169E5"/>
    <w:rsid w:val="002176E3"/>
    <w:rsid w:val="00217ED2"/>
    <w:rsid w:val="00220A8F"/>
    <w:rsid w:val="00221022"/>
    <w:rsid w:val="0022186B"/>
    <w:rsid w:val="00221F52"/>
    <w:rsid w:val="002221F8"/>
    <w:rsid w:val="00222200"/>
    <w:rsid w:val="00222B3B"/>
    <w:rsid w:val="0022368A"/>
    <w:rsid w:val="00223733"/>
    <w:rsid w:val="00223835"/>
    <w:rsid w:val="00223A2B"/>
    <w:rsid w:val="00223B8A"/>
    <w:rsid w:val="00223D72"/>
    <w:rsid w:val="00223EA4"/>
    <w:rsid w:val="00225A7C"/>
    <w:rsid w:val="00225C12"/>
    <w:rsid w:val="00225D7C"/>
    <w:rsid w:val="00225FC4"/>
    <w:rsid w:val="002263B5"/>
    <w:rsid w:val="00226E27"/>
    <w:rsid w:val="00226F92"/>
    <w:rsid w:val="0022703B"/>
    <w:rsid w:val="00227284"/>
    <w:rsid w:val="00227C08"/>
    <w:rsid w:val="002308E2"/>
    <w:rsid w:val="00230B9D"/>
    <w:rsid w:val="0023112D"/>
    <w:rsid w:val="00231251"/>
    <w:rsid w:val="002316BC"/>
    <w:rsid w:val="002318D1"/>
    <w:rsid w:val="00232089"/>
    <w:rsid w:val="00232D5C"/>
    <w:rsid w:val="00233629"/>
    <w:rsid w:val="00233788"/>
    <w:rsid w:val="00234595"/>
    <w:rsid w:val="002349D1"/>
    <w:rsid w:val="00235640"/>
    <w:rsid w:val="00235FBB"/>
    <w:rsid w:val="00236392"/>
    <w:rsid w:val="0023639D"/>
    <w:rsid w:val="00236D14"/>
    <w:rsid w:val="0023731A"/>
    <w:rsid w:val="00237DAF"/>
    <w:rsid w:val="0024035E"/>
    <w:rsid w:val="00240CCA"/>
    <w:rsid w:val="00240FD2"/>
    <w:rsid w:val="00241A3C"/>
    <w:rsid w:val="002421C3"/>
    <w:rsid w:val="00242FD5"/>
    <w:rsid w:val="00243972"/>
    <w:rsid w:val="002439FC"/>
    <w:rsid w:val="00243C37"/>
    <w:rsid w:val="00244688"/>
    <w:rsid w:val="00244D18"/>
    <w:rsid w:val="0024640F"/>
    <w:rsid w:val="002466D5"/>
    <w:rsid w:val="00246A1F"/>
    <w:rsid w:val="00246C81"/>
    <w:rsid w:val="00247AF9"/>
    <w:rsid w:val="00247F44"/>
    <w:rsid w:val="00250CB0"/>
    <w:rsid w:val="00250FB7"/>
    <w:rsid w:val="0025103F"/>
    <w:rsid w:val="00251123"/>
    <w:rsid w:val="00252049"/>
    <w:rsid w:val="0025210B"/>
    <w:rsid w:val="00252184"/>
    <w:rsid w:val="00252DCA"/>
    <w:rsid w:val="00252E23"/>
    <w:rsid w:val="00252E69"/>
    <w:rsid w:val="00253BE7"/>
    <w:rsid w:val="00254246"/>
    <w:rsid w:val="00254807"/>
    <w:rsid w:val="002549D8"/>
    <w:rsid w:val="00254B17"/>
    <w:rsid w:val="00254B9C"/>
    <w:rsid w:val="00254C6C"/>
    <w:rsid w:val="00254F0A"/>
    <w:rsid w:val="00255B7B"/>
    <w:rsid w:val="00255DD8"/>
    <w:rsid w:val="00256055"/>
    <w:rsid w:val="00256194"/>
    <w:rsid w:val="0025641C"/>
    <w:rsid w:val="0025696F"/>
    <w:rsid w:val="002573DC"/>
    <w:rsid w:val="00257763"/>
    <w:rsid w:val="0025797B"/>
    <w:rsid w:val="00257AE0"/>
    <w:rsid w:val="002606CB"/>
    <w:rsid w:val="00261EC0"/>
    <w:rsid w:val="00261F2F"/>
    <w:rsid w:val="0026292E"/>
    <w:rsid w:val="00263078"/>
    <w:rsid w:val="002639EC"/>
    <w:rsid w:val="002646F4"/>
    <w:rsid w:val="002647EC"/>
    <w:rsid w:val="0026489D"/>
    <w:rsid w:val="00264E21"/>
    <w:rsid w:val="00266958"/>
    <w:rsid w:val="00267827"/>
    <w:rsid w:val="0026790D"/>
    <w:rsid w:val="002679EB"/>
    <w:rsid w:val="002703CB"/>
    <w:rsid w:val="002704B9"/>
    <w:rsid w:val="0027144A"/>
    <w:rsid w:val="002716E8"/>
    <w:rsid w:val="0027208C"/>
    <w:rsid w:val="00272272"/>
    <w:rsid w:val="002738B7"/>
    <w:rsid w:val="00273ABD"/>
    <w:rsid w:val="00273C90"/>
    <w:rsid w:val="002746FA"/>
    <w:rsid w:val="00275DEF"/>
    <w:rsid w:val="00275F90"/>
    <w:rsid w:val="00276630"/>
    <w:rsid w:val="0027696C"/>
    <w:rsid w:val="00277147"/>
    <w:rsid w:val="00277949"/>
    <w:rsid w:val="00277A62"/>
    <w:rsid w:val="00280F67"/>
    <w:rsid w:val="002817AF"/>
    <w:rsid w:val="00281957"/>
    <w:rsid w:val="00281C4F"/>
    <w:rsid w:val="00281D41"/>
    <w:rsid w:val="00282407"/>
    <w:rsid w:val="00282574"/>
    <w:rsid w:val="00282CB1"/>
    <w:rsid w:val="00282E92"/>
    <w:rsid w:val="00283782"/>
    <w:rsid w:val="002839C0"/>
    <w:rsid w:val="00283AC7"/>
    <w:rsid w:val="00283BE6"/>
    <w:rsid w:val="002840F9"/>
    <w:rsid w:val="00284E0D"/>
    <w:rsid w:val="00284FEF"/>
    <w:rsid w:val="00285373"/>
    <w:rsid w:val="00285619"/>
    <w:rsid w:val="002860B3"/>
    <w:rsid w:val="00286472"/>
    <w:rsid w:val="00286599"/>
    <w:rsid w:val="002871B5"/>
    <w:rsid w:val="002878A4"/>
    <w:rsid w:val="00287AFC"/>
    <w:rsid w:val="00287BB5"/>
    <w:rsid w:val="00290413"/>
    <w:rsid w:val="0029051E"/>
    <w:rsid w:val="002906DD"/>
    <w:rsid w:val="0029099B"/>
    <w:rsid w:val="00290C6A"/>
    <w:rsid w:val="00290E10"/>
    <w:rsid w:val="0029365F"/>
    <w:rsid w:val="00293A98"/>
    <w:rsid w:val="0029441B"/>
    <w:rsid w:val="0029460F"/>
    <w:rsid w:val="00295627"/>
    <w:rsid w:val="002957C6"/>
    <w:rsid w:val="0029684D"/>
    <w:rsid w:val="00296FC9"/>
    <w:rsid w:val="00297EFC"/>
    <w:rsid w:val="002A0023"/>
    <w:rsid w:val="002A07D0"/>
    <w:rsid w:val="002A0B25"/>
    <w:rsid w:val="002A0BC3"/>
    <w:rsid w:val="002A0E88"/>
    <w:rsid w:val="002A11ED"/>
    <w:rsid w:val="002A13AB"/>
    <w:rsid w:val="002A2150"/>
    <w:rsid w:val="002A2242"/>
    <w:rsid w:val="002A27D6"/>
    <w:rsid w:val="002A2A38"/>
    <w:rsid w:val="002A31DC"/>
    <w:rsid w:val="002A3BBE"/>
    <w:rsid w:val="002A3C21"/>
    <w:rsid w:val="002A4274"/>
    <w:rsid w:val="002A48E7"/>
    <w:rsid w:val="002A4D0E"/>
    <w:rsid w:val="002A4FE3"/>
    <w:rsid w:val="002A594B"/>
    <w:rsid w:val="002A651D"/>
    <w:rsid w:val="002A69BF"/>
    <w:rsid w:val="002A6D5A"/>
    <w:rsid w:val="002A6E16"/>
    <w:rsid w:val="002A7799"/>
    <w:rsid w:val="002B0DBD"/>
    <w:rsid w:val="002B10ED"/>
    <w:rsid w:val="002B1267"/>
    <w:rsid w:val="002B1491"/>
    <w:rsid w:val="002B17CE"/>
    <w:rsid w:val="002B249C"/>
    <w:rsid w:val="002B2502"/>
    <w:rsid w:val="002B2634"/>
    <w:rsid w:val="002B2689"/>
    <w:rsid w:val="002B28F5"/>
    <w:rsid w:val="002B294F"/>
    <w:rsid w:val="002B2A5A"/>
    <w:rsid w:val="002B2F8A"/>
    <w:rsid w:val="002B3036"/>
    <w:rsid w:val="002B315D"/>
    <w:rsid w:val="002B3486"/>
    <w:rsid w:val="002B3D91"/>
    <w:rsid w:val="002B3E06"/>
    <w:rsid w:val="002B42C5"/>
    <w:rsid w:val="002B460F"/>
    <w:rsid w:val="002B465F"/>
    <w:rsid w:val="002B54C4"/>
    <w:rsid w:val="002B7062"/>
    <w:rsid w:val="002B7180"/>
    <w:rsid w:val="002B7ED1"/>
    <w:rsid w:val="002C0778"/>
    <w:rsid w:val="002C07B7"/>
    <w:rsid w:val="002C07EA"/>
    <w:rsid w:val="002C0A8D"/>
    <w:rsid w:val="002C0BD2"/>
    <w:rsid w:val="002C14D2"/>
    <w:rsid w:val="002C1FC7"/>
    <w:rsid w:val="002C2265"/>
    <w:rsid w:val="002C3580"/>
    <w:rsid w:val="002C64FE"/>
    <w:rsid w:val="002C6664"/>
    <w:rsid w:val="002D037E"/>
    <w:rsid w:val="002D06A6"/>
    <w:rsid w:val="002D0DA0"/>
    <w:rsid w:val="002D1606"/>
    <w:rsid w:val="002D16C5"/>
    <w:rsid w:val="002D20D4"/>
    <w:rsid w:val="002D3D20"/>
    <w:rsid w:val="002D46A5"/>
    <w:rsid w:val="002D4FEF"/>
    <w:rsid w:val="002D5199"/>
    <w:rsid w:val="002D54B0"/>
    <w:rsid w:val="002D5AC0"/>
    <w:rsid w:val="002D6A05"/>
    <w:rsid w:val="002D6C6F"/>
    <w:rsid w:val="002D6DC0"/>
    <w:rsid w:val="002D6DFE"/>
    <w:rsid w:val="002D705B"/>
    <w:rsid w:val="002D7B65"/>
    <w:rsid w:val="002E071F"/>
    <w:rsid w:val="002E0DE7"/>
    <w:rsid w:val="002E1811"/>
    <w:rsid w:val="002E3C9D"/>
    <w:rsid w:val="002E3E61"/>
    <w:rsid w:val="002E4763"/>
    <w:rsid w:val="002E47D7"/>
    <w:rsid w:val="002E4B24"/>
    <w:rsid w:val="002E4F64"/>
    <w:rsid w:val="002E55EA"/>
    <w:rsid w:val="002E5B80"/>
    <w:rsid w:val="002E5DED"/>
    <w:rsid w:val="002E617A"/>
    <w:rsid w:val="002E69DA"/>
    <w:rsid w:val="002E79EA"/>
    <w:rsid w:val="002E7CAD"/>
    <w:rsid w:val="002E7D13"/>
    <w:rsid w:val="002F005C"/>
    <w:rsid w:val="002F0F46"/>
    <w:rsid w:val="002F0FBC"/>
    <w:rsid w:val="002F182C"/>
    <w:rsid w:val="002F20BE"/>
    <w:rsid w:val="002F2E4F"/>
    <w:rsid w:val="002F2F42"/>
    <w:rsid w:val="002F4C49"/>
    <w:rsid w:val="002F5766"/>
    <w:rsid w:val="002F5B92"/>
    <w:rsid w:val="002F724E"/>
    <w:rsid w:val="002F7D37"/>
    <w:rsid w:val="003007CC"/>
    <w:rsid w:val="003007E3"/>
    <w:rsid w:val="003022B2"/>
    <w:rsid w:val="00302371"/>
    <w:rsid w:val="0030246D"/>
    <w:rsid w:val="003028B2"/>
    <w:rsid w:val="00302ABE"/>
    <w:rsid w:val="0030380C"/>
    <w:rsid w:val="00303A69"/>
    <w:rsid w:val="00303E74"/>
    <w:rsid w:val="00304272"/>
    <w:rsid w:val="00304591"/>
    <w:rsid w:val="00305870"/>
    <w:rsid w:val="003058EC"/>
    <w:rsid w:val="00305F69"/>
    <w:rsid w:val="003061D2"/>
    <w:rsid w:val="00306621"/>
    <w:rsid w:val="00306821"/>
    <w:rsid w:val="00306C2B"/>
    <w:rsid w:val="003074BF"/>
    <w:rsid w:val="00307B16"/>
    <w:rsid w:val="003102D0"/>
    <w:rsid w:val="003108F8"/>
    <w:rsid w:val="00310932"/>
    <w:rsid w:val="0031097A"/>
    <w:rsid w:val="0031107E"/>
    <w:rsid w:val="00311BFE"/>
    <w:rsid w:val="00312241"/>
    <w:rsid w:val="00312702"/>
    <w:rsid w:val="00313903"/>
    <w:rsid w:val="00313A83"/>
    <w:rsid w:val="00314048"/>
    <w:rsid w:val="003142BA"/>
    <w:rsid w:val="0031442A"/>
    <w:rsid w:val="003150CE"/>
    <w:rsid w:val="003158E1"/>
    <w:rsid w:val="00315C84"/>
    <w:rsid w:val="00315FCC"/>
    <w:rsid w:val="003163AB"/>
    <w:rsid w:val="003164D9"/>
    <w:rsid w:val="00317155"/>
    <w:rsid w:val="00317666"/>
    <w:rsid w:val="00317DBE"/>
    <w:rsid w:val="003205F4"/>
    <w:rsid w:val="0032119E"/>
    <w:rsid w:val="00322A83"/>
    <w:rsid w:val="00322D14"/>
    <w:rsid w:val="003240EB"/>
    <w:rsid w:val="00324384"/>
    <w:rsid w:val="0032453D"/>
    <w:rsid w:val="00325C1C"/>
    <w:rsid w:val="00325C6F"/>
    <w:rsid w:val="00326800"/>
    <w:rsid w:val="00326818"/>
    <w:rsid w:val="00326E28"/>
    <w:rsid w:val="00327419"/>
    <w:rsid w:val="00327539"/>
    <w:rsid w:val="0032782C"/>
    <w:rsid w:val="003278A8"/>
    <w:rsid w:val="00327A86"/>
    <w:rsid w:val="00327C18"/>
    <w:rsid w:val="0033079D"/>
    <w:rsid w:val="00330CD4"/>
    <w:rsid w:val="003310B9"/>
    <w:rsid w:val="00331451"/>
    <w:rsid w:val="00331640"/>
    <w:rsid w:val="0033191E"/>
    <w:rsid w:val="00331BB8"/>
    <w:rsid w:val="00331DA5"/>
    <w:rsid w:val="00331FC9"/>
    <w:rsid w:val="00332422"/>
    <w:rsid w:val="003326A9"/>
    <w:rsid w:val="00332904"/>
    <w:rsid w:val="00332A16"/>
    <w:rsid w:val="00333107"/>
    <w:rsid w:val="003331C4"/>
    <w:rsid w:val="003337E7"/>
    <w:rsid w:val="0033395A"/>
    <w:rsid w:val="00334C19"/>
    <w:rsid w:val="003350F7"/>
    <w:rsid w:val="003354AE"/>
    <w:rsid w:val="00335745"/>
    <w:rsid w:val="003357D4"/>
    <w:rsid w:val="00335AA5"/>
    <w:rsid w:val="0033639D"/>
    <w:rsid w:val="00336458"/>
    <w:rsid w:val="00337265"/>
    <w:rsid w:val="00337A60"/>
    <w:rsid w:val="00337B9E"/>
    <w:rsid w:val="0034097F"/>
    <w:rsid w:val="0034099B"/>
    <w:rsid w:val="00340A60"/>
    <w:rsid w:val="00340D4E"/>
    <w:rsid w:val="0034164D"/>
    <w:rsid w:val="00341724"/>
    <w:rsid w:val="00342F12"/>
    <w:rsid w:val="00343032"/>
    <w:rsid w:val="00343200"/>
    <w:rsid w:val="00343A3F"/>
    <w:rsid w:val="00343AE4"/>
    <w:rsid w:val="00343CB7"/>
    <w:rsid w:val="00344119"/>
    <w:rsid w:val="0034412C"/>
    <w:rsid w:val="00344D7C"/>
    <w:rsid w:val="00344DAA"/>
    <w:rsid w:val="003452B6"/>
    <w:rsid w:val="00345532"/>
    <w:rsid w:val="00346DCC"/>
    <w:rsid w:val="00347212"/>
    <w:rsid w:val="003479CF"/>
    <w:rsid w:val="00347AFB"/>
    <w:rsid w:val="00347DF9"/>
    <w:rsid w:val="00347FB6"/>
    <w:rsid w:val="0035062A"/>
    <w:rsid w:val="003510E8"/>
    <w:rsid w:val="00352C48"/>
    <w:rsid w:val="00355F08"/>
    <w:rsid w:val="00356993"/>
    <w:rsid w:val="003572AC"/>
    <w:rsid w:val="00357722"/>
    <w:rsid w:val="003577A4"/>
    <w:rsid w:val="00357942"/>
    <w:rsid w:val="003579D8"/>
    <w:rsid w:val="00357CD3"/>
    <w:rsid w:val="0036084F"/>
    <w:rsid w:val="003613C6"/>
    <w:rsid w:val="00361BB4"/>
    <w:rsid w:val="003629EF"/>
    <w:rsid w:val="00362AC7"/>
    <w:rsid w:val="00362FA3"/>
    <w:rsid w:val="0036305C"/>
    <w:rsid w:val="0036404D"/>
    <w:rsid w:val="003642A2"/>
    <w:rsid w:val="00364A07"/>
    <w:rsid w:val="00364CBF"/>
    <w:rsid w:val="0036543A"/>
    <w:rsid w:val="00365702"/>
    <w:rsid w:val="00365D91"/>
    <w:rsid w:val="00366A9C"/>
    <w:rsid w:val="00366B48"/>
    <w:rsid w:val="00366CFD"/>
    <w:rsid w:val="003677E3"/>
    <w:rsid w:val="00370139"/>
    <w:rsid w:val="003709C3"/>
    <w:rsid w:val="0037182C"/>
    <w:rsid w:val="00371BF2"/>
    <w:rsid w:val="00371E81"/>
    <w:rsid w:val="00372807"/>
    <w:rsid w:val="00373B70"/>
    <w:rsid w:val="003742C0"/>
    <w:rsid w:val="003747DA"/>
    <w:rsid w:val="00374B15"/>
    <w:rsid w:val="00375383"/>
    <w:rsid w:val="003753F5"/>
    <w:rsid w:val="003755B3"/>
    <w:rsid w:val="0037598E"/>
    <w:rsid w:val="00375D88"/>
    <w:rsid w:val="003769DF"/>
    <w:rsid w:val="00377217"/>
    <w:rsid w:val="00377ED2"/>
    <w:rsid w:val="00380FCD"/>
    <w:rsid w:val="00381025"/>
    <w:rsid w:val="003810CC"/>
    <w:rsid w:val="00381289"/>
    <w:rsid w:val="003814E3"/>
    <w:rsid w:val="00381BBB"/>
    <w:rsid w:val="00382154"/>
    <w:rsid w:val="00382163"/>
    <w:rsid w:val="003821EB"/>
    <w:rsid w:val="00382732"/>
    <w:rsid w:val="00382E39"/>
    <w:rsid w:val="00383383"/>
    <w:rsid w:val="00383986"/>
    <w:rsid w:val="00383988"/>
    <w:rsid w:val="00383E21"/>
    <w:rsid w:val="00383F20"/>
    <w:rsid w:val="00384BB4"/>
    <w:rsid w:val="00385151"/>
    <w:rsid w:val="00385907"/>
    <w:rsid w:val="00385CC8"/>
    <w:rsid w:val="00385D14"/>
    <w:rsid w:val="003860FA"/>
    <w:rsid w:val="00386CD7"/>
    <w:rsid w:val="003874F8"/>
    <w:rsid w:val="00387558"/>
    <w:rsid w:val="00387AAD"/>
    <w:rsid w:val="00387FA6"/>
    <w:rsid w:val="0039025C"/>
    <w:rsid w:val="0039074A"/>
    <w:rsid w:val="0039187A"/>
    <w:rsid w:val="00392020"/>
    <w:rsid w:val="00392A39"/>
    <w:rsid w:val="00393AA3"/>
    <w:rsid w:val="00393ADE"/>
    <w:rsid w:val="00393F54"/>
    <w:rsid w:val="003942CB"/>
    <w:rsid w:val="0039484C"/>
    <w:rsid w:val="0039577B"/>
    <w:rsid w:val="00396109"/>
    <w:rsid w:val="0039610B"/>
    <w:rsid w:val="00397A8D"/>
    <w:rsid w:val="00397CAB"/>
    <w:rsid w:val="003A0DF4"/>
    <w:rsid w:val="003A10A4"/>
    <w:rsid w:val="003A133F"/>
    <w:rsid w:val="003A1CA8"/>
    <w:rsid w:val="003A1E8B"/>
    <w:rsid w:val="003A2942"/>
    <w:rsid w:val="003A2CE0"/>
    <w:rsid w:val="003A3356"/>
    <w:rsid w:val="003A4196"/>
    <w:rsid w:val="003A41B9"/>
    <w:rsid w:val="003A453E"/>
    <w:rsid w:val="003A47C3"/>
    <w:rsid w:val="003A5B66"/>
    <w:rsid w:val="003A5D84"/>
    <w:rsid w:val="003A62CD"/>
    <w:rsid w:val="003A6393"/>
    <w:rsid w:val="003A65BD"/>
    <w:rsid w:val="003A6859"/>
    <w:rsid w:val="003A6980"/>
    <w:rsid w:val="003A6BB8"/>
    <w:rsid w:val="003A6D97"/>
    <w:rsid w:val="003A6E1C"/>
    <w:rsid w:val="003A776A"/>
    <w:rsid w:val="003A79BC"/>
    <w:rsid w:val="003A7D1A"/>
    <w:rsid w:val="003B027C"/>
    <w:rsid w:val="003B08EB"/>
    <w:rsid w:val="003B0F15"/>
    <w:rsid w:val="003B1302"/>
    <w:rsid w:val="003B3063"/>
    <w:rsid w:val="003B3477"/>
    <w:rsid w:val="003B3EBD"/>
    <w:rsid w:val="003B3F20"/>
    <w:rsid w:val="003B4254"/>
    <w:rsid w:val="003B451B"/>
    <w:rsid w:val="003B472E"/>
    <w:rsid w:val="003B47AF"/>
    <w:rsid w:val="003B516F"/>
    <w:rsid w:val="003B5D92"/>
    <w:rsid w:val="003B6067"/>
    <w:rsid w:val="003B6C2B"/>
    <w:rsid w:val="003B6ED8"/>
    <w:rsid w:val="003B6FA5"/>
    <w:rsid w:val="003C019A"/>
    <w:rsid w:val="003C0292"/>
    <w:rsid w:val="003C0645"/>
    <w:rsid w:val="003C09CA"/>
    <w:rsid w:val="003C0FB2"/>
    <w:rsid w:val="003C1452"/>
    <w:rsid w:val="003C1717"/>
    <w:rsid w:val="003C1B47"/>
    <w:rsid w:val="003C1D8B"/>
    <w:rsid w:val="003C1F8F"/>
    <w:rsid w:val="003C26C5"/>
    <w:rsid w:val="003C2F6F"/>
    <w:rsid w:val="003C3E10"/>
    <w:rsid w:val="003C42FA"/>
    <w:rsid w:val="003C43D3"/>
    <w:rsid w:val="003C4587"/>
    <w:rsid w:val="003C4893"/>
    <w:rsid w:val="003C4E0A"/>
    <w:rsid w:val="003C5271"/>
    <w:rsid w:val="003C53E3"/>
    <w:rsid w:val="003C5AE9"/>
    <w:rsid w:val="003C5C6F"/>
    <w:rsid w:val="003C5D77"/>
    <w:rsid w:val="003C68E1"/>
    <w:rsid w:val="003C734F"/>
    <w:rsid w:val="003C7470"/>
    <w:rsid w:val="003C757E"/>
    <w:rsid w:val="003C78C9"/>
    <w:rsid w:val="003D004C"/>
    <w:rsid w:val="003D07CC"/>
    <w:rsid w:val="003D0824"/>
    <w:rsid w:val="003D08DB"/>
    <w:rsid w:val="003D0A07"/>
    <w:rsid w:val="003D0A2F"/>
    <w:rsid w:val="003D0E6E"/>
    <w:rsid w:val="003D137F"/>
    <w:rsid w:val="003D1E20"/>
    <w:rsid w:val="003D20E5"/>
    <w:rsid w:val="003D3044"/>
    <w:rsid w:val="003D357F"/>
    <w:rsid w:val="003D3D4F"/>
    <w:rsid w:val="003D3F2A"/>
    <w:rsid w:val="003D4163"/>
    <w:rsid w:val="003D4224"/>
    <w:rsid w:val="003D4400"/>
    <w:rsid w:val="003D4A24"/>
    <w:rsid w:val="003D5078"/>
    <w:rsid w:val="003D6662"/>
    <w:rsid w:val="003D6A02"/>
    <w:rsid w:val="003D7C78"/>
    <w:rsid w:val="003E02A4"/>
    <w:rsid w:val="003E061B"/>
    <w:rsid w:val="003E0879"/>
    <w:rsid w:val="003E08C6"/>
    <w:rsid w:val="003E0D32"/>
    <w:rsid w:val="003E0EC5"/>
    <w:rsid w:val="003E0FC0"/>
    <w:rsid w:val="003E1623"/>
    <w:rsid w:val="003E1D2D"/>
    <w:rsid w:val="003E2518"/>
    <w:rsid w:val="003E2576"/>
    <w:rsid w:val="003E4719"/>
    <w:rsid w:val="003E4A87"/>
    <w:rsid w:val="003E5087"/>
    <w:rsid w:val="003E5383"/>
    <w:rsid w:val="003E5393"/>
    <w:rsid w:val="003E614C"/>
    <w:rsid w:val="003E768F"/>
    <w:rsid w:val="003E7999"/>
    <w:rsid w:val="003E7C85"/>
    <w:rsid w:val="003E7D93"/>
    <w:rsid w:val="003F0312"/>
    <w:rsid w:val="003F03EC"/>
    <w:rsid w:val="003F0877"/>
    <w:rsid w:val="003F11AD"/>
    <w:rsid w:val="003F25F6"/>
    <w:rsid w:val="003F2A04"/>
    <w:rsid w:val="003F33CC"/>
    <w:rsid w:val="003F38FD"/>
    <w:rsid w:val="003F47FE"/>
    <w:rsid w:val="003F4ACE"/>
    <w:rsid w:val="003F4B0E"/>
    <w:rsid w:val="003F5306"/>
    <w:rsid w:val="003F5BA5"/>
    <w:rsid w:val="003F634A"/>
    <w:rsid w:val="003F6475"/>
    <w:rsid w:val="003F6695"/>
    <w:rsid w:val="003F678C"/>
    <w:rsid w:val="003F7149"/>
    <w:rsid w:val="003F7688"/>
    <w:rsid w:val="003F7748"/>
    <w:rsid w:val="00400188"/>
    <w:rsid w:val="004002F4"/>
    <w:rsid w:val="00400AF9"/>
    <w:rsid w:val="00403004"/>
    <w:rsid w:val="00403982"/>
    <w:rsid w:val="0040456A"/>
    <w:rsid w:val="00404E87"/>
    <w:rsid w:val="0040551E"/>
    <w:rsid w:val="00405F72"/>
    <w:rsid w:val="00406356"/>
    <w:rsid w:val="00406E81"/>
    <w:rsid w:val="004079C8"/>
    <w:rsid w:val="00407EB3"/>
    <w:rsid w:val="00410C9A"/>
    <w:rsid w:val="004117E9"/>
    <w:rsid w:val="00411832"/>
    <w:rsid w:val="00411A8D"/>
    <w:rsid w:val="00411CE3"/>
    <w:rsid w:val="004120D5"/>
    <w:rsid w:val="0041217D"/>
    <w:rsid w:val="004122C4"/>
    <w:rsid w:val="00412C78"/>
    <w:rsid w:val="00412E2A"/>
    <w:rsid w:val="00413394"/>
    <w:rsid w:val="00413F78"/>
    <w:rsid w:val="00415864"/>
    <w:rsid w:val="00416C39"/>
    <w:rsid w:val="0041758F"/>
    <w:rsid w:val="00417DDB"/>
    <w:rsid w:val="00417E45"/>
    <w:rsid w:val="00420A20"/>
    <w:rsid w:val="00421303"/>
    <w:rsid w:val="00421847"/>
    <w:rsid w:val="00422032"/>
    <w:rsid w:val="00422D8C"/>
    <w:rsid w:val="00423420"/>
    <w:rsid w:val="0042360A"/>
    <w:rsid w:val="004236F3"/>
    <w:rsid w:val="00423B1F"/>
    <w:rsid w:val="00424758"/>
    <w:rsid w:val="00424DDE"/>
    <w:rsid w:val="00424F0F"/>
    <w:rsid w:val="004251B8"/>
    <w:rsid w:val="004259A2"/>
    <w:rsid w:val="00425D02"/>
    <w:rsid w:val="00425DEC"/>
    <w:rsid w:val="00425ECC"/>
    <w:rsid w:val="00425F97"/>
    <w:rsid w:val="004261C7"/>
    <w:rsid w:val="004263C2"/>
    <w:rsid w:val="004264AD"/>
    <w:rsid w:val="004266AD"/>
    <w:rsid w:val="0042729C"/>
    <w:rsid w:val="00427C6B"/>
    <w:rsid w:val="00430145"/>
    <w:rsid w:val="00430971"/>
    <w:rsid w:val="00430E46"/>
    <w:rsid w:val="004314AB"/>
    <w:rsid w:val="00431568"/>
    <w:rsid w:val="004327D4"/>
    <w:rsid w:val="00433481"/>
    <w:rsid w:val="0043462A"/>
    <w:rsid w:val="004351A3"/>
    <w:rsid w:val="004360F6"/>
    <w:rsid w:val="0043674C"/>
    <w:rsid w:val="00436CD8"/>
    <w:rsid w:val="00436D93"/>
    <w:rsid w:val="004371F7"/>
    <w:rsid w:val="004400C8"/>
    <w:rsid w:val="0044019A"/>
    <w:rsid w:val="00440776"/>
    <w:rsid w:val="0044089F"/>
    <w:rsid w:val="0044201C"/>
    <w:rsid w:val="00443A11"/>
    <w:rsid w:val="004440F2"/>
    <w:rsid w:val="00444697"/>
    <w:rsid w:val="004449F0"/>
    <w:rsid w:val="0044516C"/>
    <w:rsid w:val="00446A21"/>
    <w:rsid w:val="00447329"/>
    <w:rsid w:val="00447B93"/>
    <w:rsid w:val="00450B74"/>
    <w:rsid w:val="00451025"/>
    <w:rsid w:val="004522B1"/>
    <w:rsid w:val="00452EC2"/>
    <w:rsid w:val="00452F5F"/>
    <w:rsid w:val="00452F9C"/>
    <w:rsid w:val="00453051"/>
    <w:rsid w:val="00453ABD"/>
    <w:rsid w:val="00453AF3"/>
    <w:rsid w:val="00453E86"/>
    <w:rsid w:val="00454F41"/>
    <w:rsid w:val="00455008"/>
    <w:rsid w:val="00455056"/>
    <w:rsid w:val="0045536E"/>
    <w:rsid w:val="004556F0"/>
    <w:rsid w:val="00455E28"/>
    <w:rsid w:val="004565CF"/>
    <w:rsid w:val="00456C4F"/>
    <w:rsid w:val="00456DC2"/>
    <w:rsid w:val="004577F5"/>
    <w:rsid w:val="00460525"/>
    <w:rsid w:val="00461B12"/>
    <w:rsid w:val="00461BCF"/>
    <w:rsid w:val="00461DBB"/>
    <w:rsid w:val="00461EDA"/>
    <w:rsid w:val="00462187"/>
    <w:rsid w:val="0046236D"/>
    <w:rsid w:val="00462E90"/>
    <w:rsid w:val="004631DB"/>
    <w:rsid w:val="00463844"/>
    <w:rsid w:val="00463F6C"/>
    <w:rsid w:val="004649C1"/>
    <w:rsid w:val="00464D11"/>
    <w:rsid w:val="00465068"/>
    <w:rsid w:val="00465E01"/>
    <w:rsid w:val="00466107"/>
    <w:rsid w:val="004663B3"/>
    <w:rsid w:val="004672A1"/>
    <w:rsid w:val="0046734B"/>
    <w:rsid w:val="0046764D"/>
    <w:rsid w:val="00467E4E"/>
    <w:rsid w:val="004705E8"/>
    <w:rsid w:val="00470784"/>
    <w:rsid w:val="00470F98"/>
    <w:rsid w:val="0047178C"/>
    <w:rsid w:val="00472235"/>
    <w:rsid w:val="0047246E"/>
    <w:rsid w:val="004734EE"/>
    <w:rsid w:val="0047413A"/>
    <w:rsid w:val="004741A5"/>
    <w:rsid w:val="004741F1"/>
    <w:rsid w:val="004746D9"/>
    <w:rsid w:val="00474C6C"/>
    <w:rsid w:val="0047510F"/>
    <w:rsid w:val="0047512C"/>
    <w:rsid w:val="0047596F"/>
    <w:rsid w:val="00475D99"/>
    <w:rsid w:val="00475E06"/>
    <w:rsid w:val="00475FCE"/>
    <w:rsid w:val="004763EB"/>
    <w:rsid w:val="004765DC"/>
    <w:rsid w:val="0047682F"/>
    <w:rsid w:val="00476E02"/>
    <w:rsid w:val="00476E3D"/>
    <w:rsid w:val="00476F99"/>
    <w:rsid w:val="00477422"/>
    <w:rsid w:val="004774C5"/>
    <w:rsid w:val="00477648"/>
    <w:rsid w:val="00477BD4"/>
    <w:rsid w:val="00477CAE"/>
    <w:rsid w:val="00480714"/>
    <w:rsid w:val="00480A33"/>
    <w:rsid w:val="00481117"/>
    <w:rsid w:val="004817F2"/>
    <w:rsid w:val="00481BC7"/>
    <w:rsid w:val="00482606"/>
    <w:rsid w:val="0048364D"/>
    <w:rsid w:val="004838A1"/>
    <w:rsid w:val="00483BE8"/>
    <w:rsid w:val="0048408C"/>
    <w:rsid w:val="004842D6"/>
    <w:rsid w:val="0048491D"/>
    <w:rsid w:val="004854E5"/>
    <w:rsid w:val="00485D32"/>
    <w:rsid w:val="004863BC"/>
    <w:rsid w:val="004912D2"/>
    <w:rsid w:val="0049176E"/>
    <w:rsid w:val="00491A24"/>
    <w:rsid w:val="00491CA8"/>
    <w:rsid w:val="00491F74"/>
    <w:rsid w:val="0049206D"/>
    <w:rsid w:val="00492A9D"/>
    <w:rsid w:val="004930C3"/>
    <w:rsid w:val="0049397E"/>
    <w:rsid w:val="00494683"/>
    <w:rsid w:val="004948EE"/>
    <w:rsid w:val="00494A11"/>
    <w:rsid w:val="00494D5B"/>
    <w:rsid w:val="004951A9"/>
    <w:rsid w:val="00495898"/>
    <w:rsid w:val="0049598C"/>
    <w:rsid w:val="004969A0"/>
    <w:rsid w:val="00496EA2"/>
    <w:rsid w:val="00497674"/>
    <w:rsid w:val="0049770D"/>
    <w:rsid w:val="004A02CF"/>
    <w:rsid w:val="004A04F1"/>
    <w:rsid w:val="004A05D0"/>
    <w:rsid w:val="004A13C8"/>
    <w:rsid w:val="004A1BD6"/>
    <w:rsid w:val="004A1D50"/>
    <w:rsid w:val="004A1E5A"/>
    <w:rsid w:val="004A2967"/>
    <w:rsid w:val="004A324B"/>
    <w:rsid w:val="004A33B6"/>
    <w:rsid w:val="004A344D"/>
    <w:rsid w:val="004A3A2B"/>
    <w:rsid w:val="004A3D39"/>
    <w:rsid w:val="004A3F23"/>
    <w:rsid w:val="004A4A4A"/>
    <w:rsid w:val="004A5698"/>
    <w:rsid w:val="004A5A2F"/>
    <w:rsid w:val="004A5E51"/>
    <w:rsid w:val="004A61C5"/>
    <w:rsid w:val="004A63E4"/>
    <w:rsid w:val="004A6C97"/>
    <w:rsid w:val="004A6CA1"/>
    <w:rsid w:val="004A7040"/>
    <w:rsid w:val="004A761D"/>
    <w:rsid w:val="004A784D"/>
    <w:rsid w:val="004A7965"/>
    <w:rsid w:val="004A7AC3"/>
    <w:rsid w:val="004B04B7"/>
    <w:rsid w:val="004B05FB"/>
    <w:rsid w:val="004B07BB"/>
    <w:rsid w:val="004B14AB"/>
    <w:rsid w:val="004B2154"/>
    <w:rsid w:val="004B3962"/>
    <w:rsid w:val="004B3C34"/>
    <w:rsid w:val="004B3C56"/>
    <w:rsid w:val="004B43F2"/>
    <w:rsid w:val="004B449A"/>
    <w:rsid w:val="004B4515"/>
    <w:rsid w:val="004B4681"/>
    <w:rsid w:val="004B4941"/>
    <w:rsid w:val="004B5A59"/>
    <w:rsid w:val="004B5B82"/>
    <w:rsid w:val="004B5BF1"/>
    <w:rsid w:val="004B5FE7"/>
    <w:rsid w:val="004B6BE9"/>
    <w:rsid w:val="004B6D8D"/>
    <w:rsid w:val="004B704B"/>
    <w:rsid w:val="004B72F9"/>
    <w:rsid w:val="004B730D"/>
    <w:rsid w:val="004B7C02"/>
    <w:rsid w:val="004C0EBC"/>
    <w:rsid w:val="004C1EC5"/>
    <w:rsid w:val="004C1F3F"/>
    <w:rsid w:val="004C3643"/>
    <w:rsid w:val="004C481B"/>
    <w:rsid w:val="004C4926"/>
    <w:rsid w:val="004C4DB9"/>
    <w:rsid w:val="004C529C"/>
    <w:rsid w:val="004C5873"/>
    <w:rsid w:val="004C5986"/>
    <w:rsid w:val="004C6154"/>
    <w:rsid w:val="004C6677"/>
    <w:rsid w:val="004C6EE9"/>
    <w:rsid w:val="004C7713"/>
    <w:rsid w:val="004D028E"/>
    <w:rsid w:val="004D156B"/>
    <w:rsid w:val="004D1A7A"/>
    <w:rsid w:val="004D2319"/>
    <w:rsid w:val="004D231C"/>
    <w:rsid w:val="004D2ED8"/>
    <w:rsid w:val="004D4219"/>
    <w:rsid w:val="004D44C6"/>
    <w:rsid w:val="004D5219"/>
    <w:rsid w:val="004D5A09"/>
    <w:rsid w:val="004D6013"/>
    <w:rsid w:val="004D6661"/>
    <w:rsid w:val="004D675E"/>
    <w:rsid w:val="004D6D77"/>
    <w:rsid w:val="004D72D9"/>
    <w:rsid w:val="004D75A7"/>
    <w:rsid w:val="004D7A06"/>
    <w:rsid w:val="004E000B"/>
    <w:rsid w:val="004E0B85"/>
    <w:rsid w:val="004E0F70"/>
    <w:rsid w:val="004E2604"/>
    <w:rsid w:val="004E26AD"/>
    <w:rsid w:val="004E3C24"/>
    <w:rsid w:val="004E3D4D"/>
    <w:rsid w:val="004E404D"/>
    <w:rsid w:val="004E4098"/>
    <w:rsid w:val="004E40C5"/>
    <w:rsid w:val="004E4F82"/>
    <w:rsid w:val="004E561D"/>
    <w:rsid w:val="004E5B7B"/>
    <w:rsid w:val="004E7101"/>
    <w:rsid w:val="004E7538"/>
    <w:rsid w:val="004E7672"/>
    <w:rsid w:val="004F0632"/>
    <w:rsid w:val="004F0819"/>
    <w:rsid w:val="004F0D17"/>
    <w:rsid w:val="004F1E8C"/>
    <w:rsid w:val="004F3A73"/>
    <w:rsid w:val="004F3EDD"/>
    <w:rsid w:val="004F427B"/>
    <w:rsid w:val="004F48AD"/>
    <w:rsid w:val="004F4909"/>
    <w:rsid w:val="004F5AAE"/>
    <w:rsid w:val="004F5D93"/>
    <w:rsid w:val="004F6500"/>
    <w:rsid w:val="004F69A2"/>
    <w:rsid w:val="004F6F30"/>
    <w:rsid w:val="004F76C8"/>
    <w:rsid w:val="005003C6"/>
    <w:rsid w:val="00500BD9"/>
    <w:rsid w:val="00500EEC"/>
    <w:rsid w:val="00501A10"/>
    <w:rsid w:val="005020B7"/>
    <w:rsid w:val="00503E8E"/>
    <w:rsid w:val="005042CF"/>
    <w:rsid w:val="0050485E"/>
    <w:rsid w:val="005053C8"/>
    <w:rsid w:val="00505417"/>
    <w:rsid w:val="00505A1E"/>
    <w:rsid w:val="00505ECF"/>
    <w:rsid w:val="0050614C"/>
    <w:rsid w:val="00506586"/>
    <w:rsid w:val="005067E0"/>
    <w:rsid w:val="00506896"/>
    <w:rsid w:val="00506B58"/>
    <w:rsid w:val="00506C7B"/>
    <w:rsid w:val="00507C13"/>
    <w:rsid w:val="00510C66"/>
    <w:rsid w:val="00510EB7"/>
    <w:rsid w:val="005115EE"/>
    <w:rsid w:val="005127E2"/>
    <w:rsid w:val="00512CCE"/>
    <w:rsid w:val="00513210"/>
    <w:rsid w:val="00513337"/>
    <w:rsid w:val="00515F0D"/>
    <w:rsid w:val="00516415"/>
    <w:rsid w:val="0051648B"/>
    <w:rsid w:val="00517812"/>
    <w:rsid w:val="0052022E"/>
    <w:rsid w:val="00521CF6"/>
    <w:rsid w:val="00521F0A"/>
    <w:rsid w:val="00522B2F"/>
    <w:rsid w:val="00522D75"/>
    <w:rsid w:val="005242F5"/>
    <w:rsid w:val="00524B4C"/>
    <w:rsid w:val="00524ED9"/>
    <w:rsid w:val="00525DE5"/>
    <w:rsid w:val="00525FF3"/>
    <w:rsid w:val="0052719B"/>
    <w:rsid w:val="005272ED"/>
    <w:rsid w:val="005275ED"/>
    <w:rsid w:val="00527ACC"/>
    <w:rsid w:val="00527D22"/>
    <w:rsid w:val="00530356"/>
    <w:rsid w:val="005304F6"/>
    <w:rsid w:val="005305E1"/>
    <w:rsid w:val="005309C6"/>
    <w:rsid w:val="00530F73"/>
    <w:rsid w:val="00531A00"/>
    <w:rsid w:val="00532A4C"/>
    <w:rsid w:val="00532DB6"/>
    <w:rsid w:val="005330B3"/>
    <w:rsid w:val="00533877"/>
    <w:rsid w:val="00533E82"/>
    <w:rsid w:val="005341ED"/>
    <w:rsid w:val="0053438B"/>
    <w:rsid w:val="0053456B"/>
    <w:rsid w:val="005346BD"/>
    <w:rsid w:val="00534EDD"/>
    <w:rsid w:val="005352FA"/>
    <w:rsid w:val="00535AAC"/>
    <w:rsid w:val="00535C23"/>
    <w:rsid w:val="00535DA1"/>
    <w:rsid w:val="005365F8"/>
    <w:rsid w:val="00536771"/>
    <w:rsid w:val="0053769D"/>
    <w:rsid w:val="00537CD9"/>
    <w:rsid w:val="00540B9D"/>
    <w:rsid w:val="00540F05"/>
    <w:rsid w:val="00542D39"/>
    <w:rsid w:val="0054317D"/>
    <w:rsid w:val="00543A1F"/>
    <w:rsid w:val="00544C56"/>
    <w:rsid w:val="00545845"/>
    <w:rsid w:val="00546026"/>
    <w:rsid w:val="00546541"/>
    <w:rsid w:val="005467FC"/>
    <w:rsid w:val="005469A8"/>
    <w:rsid w:val="00546F6A"/>
    <w:rsid w:val="005470ED"/>
    <w:rsid w:val="00547155"/>
    <w:rsid w:val="005479EE"/>
    <w:rsid w:val="005503C9"/>
    <w:rsid w:val="0055053E"/>
    <w:rsid w:val="00550ADE"/>
    <w:rsid w:val="00550B77"/>
    <w:rsid w:val="00550B91"/>
    <w:rsid w:val="00551377"/>
    <w:rsid w:val="00551505"/>
    <w:rsid w:val="00551FBD"/>
    <w:rsid w:val="00552591"/>
    <w:rsid w:val="00552A3B"/>
    <w:rsid w:val="00553DB3"/>
    <w:rsid w:val="0055471E"/>
    <w:rsid w:val="00555409"/>
    <w:rsid w:val="005561EC"/>
    <w:rsid w:val="00556475"/>
    <w:rsid w:val="00556BB3"/>
    <w:rsid w:val="00556DCC"/>
    <w:rsid w:val="00557C83"/>
    <w:rsid w:val="005600A0"/>
    <w:rsid w:val="0056020D"/>
    <w:rsid w:val="0056050E"/>
    <w:rsid w:val="00560DD6"/>
    <w:rsid w:val="00560F53"/>
    <w:rsid w:val="00562148"/>
    <w:rsid w:val="0056277D"/>
    <w:rsid w:val="005631E0"/>
    <w:rsid w:val="00563654"/>
    <w:rsid w:val="00563DA3"/>
    <w:rsid w:val="00564439"/>
    <w:rsid w:val="00564723"/>
    <w:rsid w:val="005648B9"/>
    <w:rsid w:val="00564AB1"/>
    <w:rsid w:val="00564CB5"/>
    <w:rsid w:val="00564D6E"/>
    <w:rsid w:val="00565908"/>
    <w:rsid w:val="00565A35"/>
    <w:rsid w:val="00565B29"/>
    <w:rsid w:val="00565EB5"/>
    <w:rsid w:val="005667A0"/>
    <w:rsid w:val="0056682F"/>
    <w:rsid w:val="005670EB"/>
    <w:rsid w:val="00567243"/>
    <w:rsid w:val="0056767C"/>
    <w:rsid w:val="00567BCA"/>
    <w:rsid w:val="00567BD7"/>
    <w:rsid w:val="00570A69"/>
    <w:rsid w:val="0057101B"/>
    <w:rsid w:val="0057198A"/>
    <w:rsid w:val="00571A76"/>
    <w:rsid w:val="00571EDF"/>
    <w:rsid w:val="005729AA"/>
    <w:rsid w:val="0057304B"/>
    <w:rsid w:val="00573114"/>
    <w:rsid w:val="00573127"/>
    <w:rsid w:val="00573147"/>
    <w:rsid w:val="00573A88"/>
    <w:rsid w:val="0057423D"/>
    <w:rsid w:val="00574BC4"/>
    <w:rsid w:val="005752FD"/>
    <w:rsid w:val="005754C3"/>
    <w:rsid w:val="00575645"/>
    <w:rsid w:val="00575ABA"/>
    <w:rsid w:val="005764DB"/>
    <w:rsid w:val="00576695"/>
    <w:rsid w:val="00577FE2"/>
    <w:rsid w:val="005808A8"/>
    <w:rsid w:val="005808F8"/>
    <w:rsid w:val="00581FA6"/>
    <w:rsid w:val="0058201D"/>
    <w:rsid w:val="005822B7"/>
    <w:rsid w:val="00582700"/>
    <w:rsid w:val="00582985"/>
    <w:rsid w:val="0058303B"/>
    <w:rsid w:val="0058357D"/>
    <w:rsid w:val="0058361D"/>
    <w:rsid w:val="00583690"/>
    <w:rsid w:val="0058370E"/>
    <w:rsid w:val="00583E39"/>
    <w:rsid w:val="00583EF8"/>
    <w:rsid w:val="0058445C"/>
    <w:rsid w:val="005846C4"/>
    <w:rsid w:val="00584CFA"/>
    <w:rsid w:val="00584F7A"/>
    <w:rsid w:val="005850ED"/>
    <w:rsid w:val="0058527E"/>
    <w:rsid w:val="0058579F"/>
    <w:rsid w:val="00585C7D"/>
    <w:rsid w:val="00586647"/>
    <w:rsid w:val="005867E5"/>
    <w:rsid w:val="00586868"/>
    <w:rsid w:val="005868C8"/>
    <w:rsid w:val="00586EFA"/>
    <w:rsid w:val="005872B3"/>
    <w:rsid w:val="00590F28"/>
    <w:rsid w:val="005916AD"/>
    <w:rsid w:val="005918B5"/>
    <w:rsid w:val="00591FF0"/>
    <w:rsid w:val="005925BB"/>
    <w:rsid w:val="00592F28"/>
    <w:rsid w:val="00593251"/>
    <w:rsid w:val="00593D41"/>
    <w:rsid w:val="00593D7A"/>
    <w:rsid w:val="005945BC"/>
    <w:rsid w:val="005947DF"/>
    <w:rsid w:val="00594DE5"/>
    <w:rsid w:val="00595725"/>
    <w:rsid w:val="00595973"/>
    <w:rsid w:val="00595A8A"/>
    <w:rsid w:val="00595C35"/>
    <w:rsid w:val="00596750"/>
    <w:rsid w:val="00597D45"/>
    <w:rsid w:val="00597DB6"/>
    <w:rsid w:val="00597E46"/>
    <w:rsid w:val="00597E8C"/>
    <w:rsid w:val="005A00A2"/>
    <w:rsid w:val="005A1756"/>
    <w:rsid w:val="005A1DEE"/>
    <w:rsid w:val="005A1E02"/>
    <w:rsid w:val="005A25E2"/>
    <w:rsid w:val="005A2938"/>
    <w:rsid w:val="005A3046"/>
    <w:rsid w:val="005A30A2"/>
    <w:rsid w:val="005A37C2"/>
    <w:rsid w:val="005A4DC6"/>
    <w:rsid w:val="005A5A6D"/>
    <w:rsid w:val="005A6643"/>
    <w:rsid w:val="005A6795"/>
    <w:rsid w:val="005A6904"/>
    <w:rsid w:val="005A7318"/>
    <w:rsid w:val="005A73D2"/>
    <w:rsid w:val="005B046B"/>
    <w:rsid w:val="005B12E4"/>
    <w:rsid w:val="005B1EA1"/>
    <w:rsid w:val="005B35D5"/>
    <w:rsid w:val="005B4DF5"/>
    <w:rsid w:val="005B51FF"/>
    <w:rsid w:val="005B5A05"/>
    <w:rsid w:val="005B5E82"/>
    <w:rsid w:val="005B610B"/>
    <w:rsid w:val="005B64A3"/>
    <w:rsid w:val="005B67AB"/>
    <w:rsid w:val="005B6B9D"/>
    <w:rsid w:val="005B71ED"/>
    <w:rsid w:val="005B7831"/>
    <w:rsid w:val="005B7C21"/>
    <w:rsid w:val="005B7EE7"/>
    <w:rsid w:val="005C045A"/>
    <w:rsid w:val="005C0636"/>
    <w:rsid w:val="005C08E7"/>
    <w:rsid w:val="005C0CD2"/>
    <w:rsid w:val="005C0F97"/>
    <w:rsid w:val="005C1979"/>
    <w:rsid w:val="005C22C9"/>
    <w:rsid w:val="005C2F2C"/>
    <w:rsid w:val="005C3138"/>
    <w:rsid w:val="005C4078"/>
    <w:rsid w:val="005C4CAF"/>
    <w:rsid w:val="005C4EAF"/>
    <w:rsid w:val="005C4FD3"/>
    <w:rsid w:val="005C512B"/>
    <w:rsid w:val="005C5D4C"/>
    <w:rsid w:val="005C6190"/>
    <w:rsid w:val="005C6321"/>
    <w:rsid w:val="005C63D5"/>
    <w:rsid w:val="005C6585"/>
    <w:rsid w:val="005C696F"/>
    <w:rsid w:val="005C7095"/>
    <w:rsid w:val="005D00E4"/>
    <w:rsid w:val="005D0111"/>
    <w:rsid w:val="005D069E"/>
    <w:rsid w:val="005D1091"/>
    <w:rsid w:val="005D10C7"/>
    <w:rsid w:val="005D1891"/>
    <w:rsid w:val="005D253D"/>
    <w:rsid w:val="005D2E2D"/>
    <w:rsid w:val="005D3292"/>
    <w:rsid w:val="005D388A"/>
    <w:rsid w:val="005D3C6E"/>
    <w:rsid w:val="005D4DB5"/>
    <w:rsid w:val="005D54A7"/>
    <w:rsid w:val="005D6233"/>
    <w:rsid w:val="005D6B21"/>
    <w:rsid w:val="005E03A8"/>
    <w:rsid w:val="005E0888"/>
    <w:rsid w:val="005E2306"/>
    <w:rsid w:val="005E304D"/>
    <w:rsid w:val="005E38F1"/>
    <w:rsid w:val="005E45E2"/>
    <w:rsid w:val="005E4BBD"/>
    <w:rsid w:val="005E51EC"/>
    <w:rsid w:val="005E52D6"/>
    <w:rsid w:val="005E60A6"/>
    <w:rsid w:val="005E6A8A"/>
    <w:rsid w:val="005E75DA"/>
    <w:rsid w:val="005F000F"/>
    <w:rsid w:val="005F0803"/>
    <w:rsid w:val="005F21B7"/>
    <w:rsid w:val="005F2849"/>
    <w:rsid w:val="005F2B37"/>
    <w:rsid w:val="005F2F7B"/>
    <w:rsid w:val="005F33F1"/>
    <w:rsid w:val="005F3856"/>
    <w:rsid w:val="005F5244"/>
    <w:rsid w:val="005F54CE"/>
    <w:rsid w:val="005F5F38"/>
    <w:rsid w:val="005F6CC0"/>
    <w:rsid w:val="005F741B"/>
    <w:rsid w:val="005F770E"/>
    <w:rsid w:val="005F77F5"/>
    <w:rsid w:val="005F7CDC"/>
    <w:rsid w:val="006001DB"/>
    <w:rsid w:val="00600921"/>
    <w:rsid w:val="00600F63"/>
    <w:rsid w:val="0060139A"/>
    <w:rsid w:val="006015A7"/>
    <w:rsid w:val="006015F8"/>
    <w:rsid w:val="006016BA"/>
    <w:rsid w:val="006018C0"/>
    <w:rsid w:val="00601B7D"/>
    <w:rsid w:val="0060336C"/>
    <w:rsid w:val="0060373D"/>
    <w:rsid w:val="0060425D"/>
    <w:rsid w:val="00605504"/>
    <w:rsid w:val="00605F78"/>
    <w:rsid w:val="0060635C"/>
    <w:rsid w:val="006066D3"/>
    <w:rsid w:val="006067B4"/>
    <w:rsid w:val="00606A53"/>
    <w:rsid w:val="00606B88"/>
    <w:rsid w:val="00607072"/>
    <w:rsid w:val="0060764F"/>
    <w:rsid w:val="006078B8"/>
    <w:rsid w:val="00607BE0"/>
    <w:rsid w:val="00610117"/>
    <w:rsid w:val="0061165B"/>
    <w:rsid w:val="0061190A"/>
    <w:rsid w:val="00613176"/>
    <w:rsid w:val="006147B3"/>
    <w:rsid w:val="006159BA"/>
    <w:rsid w:val="006169BF"/>
    <w:rsid w:val="006174F5"/>
    <w:rsid w:val="00620685"/>
    <w:rsid w:val="00620745"/>
    <w:rsid w:val="00620B02"/>
    <w:rsid w:val="00621879"/>
    <w:rsid w:val="006224F1"/>
    <w:rsid w:val="006228F1"/>
    <w:rsid w:val="00622A76"/>
    <w:rsid w:val="0062369F"/>
    <w:rsid w:val="00623948"/>
    <w:rsid w:val="00623BD7"/>
    <w:rsid w:val="00624069"/>
    <w:rsid w:val="006240A2"/>
    <w:rsid w:val="00624383"/>
    <w:rsid w:val="00624391"/>
    <w:rsid w:val="0062445C"/>
    <w:rsid w:val="006245BA"/>
    <w:rsid w:val="006248B6"/>
    <w:rsid w:val="00624B06"/>
    <w:rsid w:val="00624FA9"/>
    <w:rsid w:val="00625547"/>
    <w:rsid w:val="00625A65"/>
    <w:rsid w:val="0062613D"/>
    <w:rsid w:val="00626192"/>
    <w:rsid w:val="006269D9"/>
    <w:rsid w:val="0062781C"/>
    <w:rsid w:val="00627CCF"/>
    <w:rsid w:val="00630408"/>
    <w:rsid w:val="00630E10"/>
    <w:rsid w:val="0063146E"/>
    <w:rsid w:val="00631665"/>
    <w:rsid w:val="00631EC3"/>
    <w:rsid w:val="00631F15"/>
    <w:rsid w:val="006335EF"/>
    <w:rsid w:val="006337D6"/>
    <w:rsid w:val="0063406F"/>
    <w:rsid w:val="006342AE"/>
    <w:rsid w:val="00634865"/>
    <w:rsid w:val="00634ACA"/>
    <w:rsid w:val="006357BE"/>
    <w:rsid w:val="00636CD2"/>
    <w:rsid w:val="0063719A"/>
    <w:rsid w:val="00637D57"/>
    <w:rsid w:val="0064012C"/>
    <w:rsid w:val="0064094E"/>
    <w:rsid w:val="00641F7E"/>
    <w:rsid w:val="00642394"/>
    <w:rsid w:val="00642A1F"/>
    <w:rsid w:val="00642BF5"/>
    <w:rsid w:val="00643237"/>
    <w:rsid w:val="00643B89"/>
    <w:rsid w:val="0064408F"/>
    <w:rsid w:val="00644455"/>
    <w:rsid w:val="00644A51"/>
    <w:rsid w:val="00644E74"/>
    <w:rsid w:val="00644F44"/>
    <w:rsid w:val="00645094"/>
    <w:rsid w:val="00645E26"/>
    <w:rsid w:val="00646DDF"/>
    <w:rsid w:val="00647038"/>
    <w:rsid w:val="00647B02"/>
    <w:rsid w:val="00650615"/>
    <w:rsid w:val="00650A5F"/>
    <w:rsid w:val="00650DA5"/>
    <w:rsid w:val="006515F8"/>
    <w:rsid w:val="006535A8"/>
    <w:rsid w:val="00653B71"/>
    <w:rsid w:val="00653DCC"/>
    <w:rsid w:val="00653E77"/>
    <w:rsid w:val="006549B6"/>
    <w:rsid w:val="00654BBE"/>
    <w:rsid w:val="006562BA"/>
    <w:rsid w:val="00656352"/>
    <w:rsid w:val="006563FB"/>
    <w:rsid w:val="0065722D"/>
    <w:rsid w:val="0065744C"/>
    <w:rsid w:val="00657EBB"/>
    <w:rsid w:val="0066124A"/>
    <w:rsid w:val="0066192B"/>
    <w:rsid w:val="00662066"/>
    <w:rsid w:val="006621A2"/>
    <w:rsid w:val="00662407"/>
    <w:rsid w:val="00663136"/>
    <w:rsid w:val="0066463C"/>
    <w:rsid w:val="006647DF"/>
    <w:rsid w:val="006648F2"/>
    <w:rsid w:val="006650A2"/>
    <w:rsid w:val="006651BB"/>
    <w:rsid w:val="006657BA"/>
    <w:rsid w:val="006663C2"/>
    <w:rsid w:val="0066652C"/>
    <w:rsid w:val="00666727"/>
    <w:rsid w:val="0066677C"/>
    <w:rsid w:val="006668F2"/>
    <w:rsid w:val="00666D86"/>
    <w:rsid w:val="00666F1B"/>
    <w:rsid w:val="006675E2"/>
    <w:rsid w:val="006677FF"/>
    <w:rsid w:val="00667C62"/>
    <w:rsid w:val="00667F3A"/>
    <w:rsid w:val="006701B1"/>
    <w:rsid w:val="0067097E"/>
    <w:rsid w:val="00670CFF"/>
    <w:rsid w:val="0067128A"/>
    <w:rsid w:val="00671934"/>
    <w:rsid w:val="00671CA1"/>
    <w:rsid w:val="006728D0"/>
    <w:rsid w:val="00672AE9"/>
    <w:rsid w:val="00673394"/>
    <w:rsid w:val="00673724"/>
    <w:rsid w:val="006737AC"/>
    <w:rsid w:val="00673AB1"/>
    <w:rsid w:val="006740A0"/>
    <w:rsid w:val="0067446F"/>
    <w:rsid w:val="0067455A"/>
    <w:rsid w:val="00674908"/>
    <w:rsid w:val="00674B3C"/>
    <w:rsid w:val="00674B8A"/>
    <w:rsid w:val="00674E59"/>
    <w:rsid w:val="00675838"/>
    <w:rsid w:val="006769CA"/>
    <w:rsid w:val="0067715B"/>
    <w:rsid w:val="00677679"/>
    <w:rsid w:val="00677F73"/>
    <w:rsid w:val="00680BBA"/>
    <w:rsid w:val="00681B47"/>
    <w:rsid w:val="006826C8"/>
    <w:rsid w:val="00683373"/>
    <w:rsid w:val="00684731"/>
    <w:rsid w:val="006849CA"/>
    <w:rsid w:val="00684D7A"/>
    <w:rsid w:val="0068552D"/>
    <w:rsid w:val="0068687A"/>
    <w:rsid w:val="00686D31"/>
    <w:rsid w:val="00686F2B"/>
    <w:rsid w:val="0068753A"/>
    <w:rsid w:val="00687804"/>
    <w:rsid w:val="006903C8"/>
    <w:rsid w:val="00690426"/>
    <w:rsid w:val="006904A0"/>
    <w:rsid w:val="00690CD3"/>
    <w:rsid w:val="00690F28"/>
    <w:rsid w:val="006922A9"/>
    <w:rsid w:val="006927A3"/>
    <w:rsid w:val="006929C0"/>
    <w:rsid w:val="00692ABC"/>
    <w:rsid w:val="006932BF"/>
    <w:rsid w:val="006936E1"/>
    <w:rsid w:val="0069373A"/>
    <w:rsid w:val="00693778"/>
    <w:rsid w:val="00693998"/>
    <w:rsid w:val="00693E24"/>
    <w:rsid w:val="0069466A"/>
    <w:rsid w:val="006953D5"/>
    <w:rsid w:val="0069579E"/>
    <w:rsid w:val="00696147"/>
    <w:rsid w:val="006964C6"/>
    <w:rsid w:val="006977BC"/>
    <w:rsid w:val="006977EF"/>
    <w:rsid w:val="006A030C"/>
    <w:rsid w:val="006A072E"/>
    <w:rsid w:val="006A08FD"/>
    <w:rsid w:val="006A097D"/>
    <w:rsid w:val="006A0AD3"/>
    <w:rsid w:val="006A1A3E"/>
    <w:rsid w:val="006A1FE0"/>
    <w:rsid w:val="006A2151"/>
    <w:rsid w:val="006A2811"/>
    <w:rsid w:val="006A2A7D"/>
    <w:rsid w:val="006A2B26"/>
    <w:rsid w:val="006A2F2B"/>
    <w:rsid w:val="006A33D2"/>
    <w:rsid w:val="006A493B"/>
    <w:rsid w:val="006A49E6"/>
    <w:rsid w:val="006A4BFC"/>
    <w:rsid w:val="006A519F"/>
    <w:rsid w:val="006A53A0"/>
    <w:rsid w:val="006A5FCA"/>
    <w:rsid w:val="006A7A27"/>
    <w:rsid w:val="006A7B35"/>
    <w:rsid w:val="006B0205"/>
    <w:rsid w:val="006B043F"/>
    <w:rsid w:val="006B045D"/>
    <w:rsid w:val="006B0683"/>
    <w:rsid w:val="006B0738"/>
    <w:rsid w:val="006B088A"/>
    <w:rsid w:val="006B1344"/>
    <w:rsid w:val="006B1BAD"/>
    <w:rsid w:val="006B284B"/>
    <w:rsid w:val="006B2C07"/>
    <w:rsid w:val="006B3356"/>
    <w:rsid w:val="006B370E"/>
    <w:rsid w:val="006B3821"/>
    <w:rsid w:val="006B3951"/>
    <w:rsid w:val="006B39B4"/>
    <w:rsid w:val="006B4137"/>
    <w:rsid w:val="006B4589"/>
    <w:rsid w:val="006B48A2"/>
    <w:rsid w:val="006B4BBC"/>
    <w:rsid w:val="006B4DF3"/>
    <w:rsid w:val="006B4FE1"/>
    <w:rsid w:val="006B7036"/>
    <w:rsid w:val="006B7CC8"/>
    <w:rsid w:val="006C04B1"/>
    <w:rsid w:val="006C0984"/>
    <w:rsid w:val="006C09AE"/>
    <w:rsid w:val="006C1598"/>
    <w:rsid w:val="006C1F98"/>
    <w:rsid w:val="006C2447"/>
    <w:rsid w:val="006C2FC1"/>
    <w:rsid w:val="006C3ED6"/>
    <w:rsid w:val="006C40F3"/>
    <w:rsid w:val="006C4688"/>
    <w:rsid w:val="006C4D42"/>
    <w:rsid w:val="006C4DA8"/>
    <w:rsid w:val="006C519D"/>
    <w:rsid w:val="006C5B76"/>
    <w:rsid w:val="006C652E"/>
    <w:rsid w:val="006C6871"/>
    <w:rsid w:val="006C6F63"/>
    <w:rsid w:val="006C7F96"/>
    <w:rsid w:val="006C7FEF"/>
    <w:rsid w:val="006D0F1C"/>
    <w:rsid w:val="006D1E48"/>
    <w:rsid w:val="006D2708"/>
    <w:rsid w:val="006D271F"/>
    <w:rsid w:val="006D28D3"/>
    <w:rsid w:val="006D2E62"/>
    <w:rsid w:val="006D3351"/>
    <w:rsid w:val="006D37BA"/>
    <w:rsid w:val="006D3F64"/>
    <w:rsid w:val="006D43F0"/>
    <w:rsid w:val="006D4A29"/>
    <w:rsid w:val="006D4A7E"/>
    <w:rsid w:val="006D4F0C"/>
    <w:rsid w:val="006D50B6"/>
    <w:rsid w:val="006D53F1"/>
    <w:rsid w:val="006D5C05"/>
    <w:rsid w:val="006D5D13"/>
    <w:rsid w:val="006D5EBC"/>
    <w:rsid w:val="006D6088"/>
    <w:rsid w:val="006D6A0E"/>
    <w:rsid w:val="006E0659"/>
    <w:rsid w:val="006E14E2"/>
    <w:rsid w:val="006E1785"/>
    <w:rsid w:val="006E216B"/>
    <w:rsid w:val="006E2309"/>
    <w:rsid w:val="006E23CB"/>
    <w:rsid w:val="006E270F"/>
    <w:rsid w:val="006E318A"/>
    <w:rsid w:val="006E32F9"/>
    <w:rsid w:val="006E33A7"/>
    <w:rsid w:val="006E388A"/>
    <w:rsid w:val="006E3AD5"/>
    <w:rsid w:val="006E3E7A"/>
    <w:rsid w:val="006E3F32"/>
    <w:rsid w:val="006E40E2"/>
    <w:rsid w:val="006E4AB2"/>
    <w:rsid w:val="006E4CF0"/>
    <w:rsid w:val="006E55F5"/>
    <w:rsid w:val="006E641D"/>
    <w:rsid w:val="006E6A71"/>
    <w:rsid w:val="006E6CAC"/>
    <w:rsid w:val="006E6FF5"/>
    <w:rsid w:val="006F1015"/>
    <w:rsid w:val="006F14C8"/>
    <w:rsid w:val="006F1ADF"/>
    <w:rsid w:val="006F20E7"/>
    <w:rsid w:val="006F22C5"/>
    <w:rsid w:val="006F22F9"/>
    <w:rsid w:val="006F2A1C"/>
    <w:rsid w:val="006F35A9"/>
    <w:rsid w:val="006F46A2"/>
    <w:rsid w:val="006F4CA2"/>
    <w:rsid w:val="006F5187"/>
    <w:rsid w:val="006F5606"/>
    <w:rsid w:val="006F5723"/>
    <w:rsid w:val="006F634C"/>
    <w:rsid w:val="006F65E5"/>
    <w:rsid w:val="006F675F"/>
    <w:rsid w:val="006F69A2"/>
    <w:rsid w:val="006F7233"/>
    <w:rsid w:val="006F783C"/>
    <w:rsid w:val="00700580"/>
    <w:rsid w:val="00700804"/>
    <w:rsid w:val="00700DCE"/>
    <w:rsid w:val="007015FA"/>
    <w:rsid w:val="00701DE6"/>
    <w:rsid w:val="00701E5A"/>
    <w:rsid w:val="00702B89"/>
    <w:rsid w:val="00704B35"/>
    <w:rsid w:val="00705088"/>
    <w:rsid w:val="00705732"/>
    <w:rsid w:val="007057A4"/>
    <w:rsid w:val="00705C69"/>
    <w:rsid w:val="00707667"/>
    <w:rsid w:val="0070773A"/>
    <w:rsid w:val="00707E76"/>
    <w:rsid w:val="00707E8B"/>
    <w:rsid w:val="00710489"/>
    <w:rsid w:val="007115ED"/>
    <w:rsid w:val="0071181F"/>
    <w:rsid w:val="00711D4C"/>
    <w:rsid w:val="00712219"/>
    <w:rsid w:val="00712DCD"/>
    <w:rsid w:val="007130BC"/>
    <w:rsid w:val="00713E95"/>
    <w:rsid w:val="007147F1"/>
    <w:rsid w:val="007156CD"/>
    <w:rsid w:val="00715BFA"/>
    <w:rsid w:val="00715DF2"/>
    <w:rsid w:val="007168ED"/>
    <w:rsid w:val="00717292"/>
    <w:rsid w:val="00717737"/>
    <w:rsid w:val="007179F6"/>
    <w:rsid w:val="007213DF"/>
    <w:rsid w:val="00721621"/>
    <w:rsid w:val="00721933"/>
    <w:rsid w:val="007219EA"/>
    <w:rsid w:val="00721D3F"/>
    <w:rsid w:val="00721D4C"/>
    <w:rsid w:val="00722EC1"/>
    <w:rsid w:val="007243D2"/>
    <w:rsid w:val="00724957"/>
    <w:rsid w:val="00724F0E"/>
    <w:rsid w:val="007252B4"/>
    <w:rsid w:val="00725A97"/>
    <w:rsid w:val="00726017"/>
    <w:rsid w:val="0072670D"/>
    <w:rsid w:val="00726AD2"/>
    <w:rsid w:val="007270ED"/>
    <w:rsid w:val="007271B0"/>
    <w:rsid w:val="0072776A"/>
    <w:rsid w:val="007278D7"/>
    <w:rsid w:val="00731D6B"/>
    <w:rsid w:val="007320B0"/>
    <w:rsid w:val="007328F3"/>
    <w:rsid w:val="00732B68"/>
    <w:rsid w:val="00732FDD"/>
    <w:rsid w:val="007335B5"/>
    <w:rsid w:val="007338A0"/>
    <w:rsid w:val="00733D53"/>
    <w:rsid w:val="007341C4"/>
    <w:rsid w:val="00734391"/>
    <w:rsid w:val="00734D26"/>
    <w:rsid w:val="00735A6C"/>
    <w:rsid w:val="00735BBF"/>
    <w:rsid w:val="00737F33"/>
    <w:rsid w:val="00740027"/>
    <w:rsid w:val="00740044"/>
    <w:rsid w:val="007401EF"/>
    <w:rsid w:val="007406F8"/>
    <w:rsid w:val="00740B02"/>
    <w:rsid w:val="007416A7"/>
    <w:rsid w:val="007420FE"/>
    <w:rsid w:val="00742454"/>
    <w:rsid w:val="007424D3"/>
    <w:rsid w:val="00742F2B"/>
    <w:rsid w:val="00742F9C"/>
    <w:rsid w:val="00743120"/>
    <w:rsid w:val="00744660"/>
    <w:rsid w:val="007447A9"/>
    <w:rsid w:val="00744AC3"/>
    <w:rsid w:val="00744E70"/>
    <w:rsid w:val="00745028"/>
    <w:rsid w:val="0074524B"/>
    <w:rsid w:val="00745311"/>
    <w:rsid w:val="00745588"/>
    <w:rsid w:val="007457E5"/>
    <w:rsid w:val="00746398"/>
    <w:rsid w:val="007466E9"/>
    <w:rsid w:val="00746F24"/>
    <w:rsid w:val="007477F8"/>
    <w:rsid w:val="00747841"/>
    <w:rsid w:val="00747BAB"/>
    <w:rsid w:val="00747D61"/>
    <w:rsid w:val="00747E88"/>
    <w:rsid w:val="00747F77"/>
    <w:rsid w:val="0075011F"/>
    <w:rsid w:val="0075097A"/>
    <w:rsid w:val="00750CDC"/>
    <w:rsid w:val="00750EFA"/>
    <w:rsid w:val="00752122"/>
    <w:rsid w:val="007521B4"/>
    <w:rsid w:val="00752400"/>
    <w:rsid w:val="0075381A"/>
    <w:rsid w:val="0075471E"/>
    <w:rsid w:val="00754C0B"/>
    <w:rsid w:val="00754CDE"/>
    <w:rsid w:val="00754E74"/>
    <w:rsid w:val="00756645"/>
    <w:rsid w:val="00756931"/>
    <w:rsid w:val="007576C8"/>
    <w:rsid w:val="00757915"/>
    <w:rsid w:val="00757F8F"/>
    <w:rsid w:val="00760098"/>
    <w:rsid w:val="0076039A"/>
    <w:rsid w:val="0076086E"/>
    <w:rsid w:val="00760894"/>
    <w:rsid w:val="007608AF"/>
    <w:rsid w:val="00760928"/>
    <w:rsid w:val="007609EA"/>
    <w:rsid w:val="00762227"/>
    <w:rsid w:val="00762369"/>
    <w:rsid w:val="007634D8"/>
    <w:rsid w:val="0076360B"/>
    <w:rsid w:val="007645D6"/>
    <w:rsid w:val="0076535C"/>
    <w:rsid w:val="00765718"/>
    <w:rsid w:val="007659CE"/>
    <w:rsid w:val="00765DA8"/>
    <w:rsid w:val="00766A48"/>
    <w:rsid w:val="00766A9C"/>
    <w:rsid w:val="007674DD"/>
    <w:rsid w:val="00767E2A"/>
    <w:rsid w:val="00770311"/>
    <w:rsid w:val="00770370"/>
    <w:rsid w:val="007716A4"/>
    <w:rsid w:val="00771901"/>
    <w:rsid w:val="00771A58"/>
    <w:rsid w:val="00771E00"/>
    <w:rsid w:val="00772FCB"/>
    <w:rsid w:val="007737CD"/>
    <w:rsid w:val="00773CE4"/>
    <w:rsid w:val="00774441"/>
    <w:rsid w:val="00774620"/>
    <w:rsid w:val="00775521"/>
    <w:rsid w:val="007756A1"/>
    <w:rsid w:val="00776146"/>
    <w:rsid w:val="00776563"/>
    <w:rsid w:val="00776A4F"/>
    <w:rsid w:val="00776B85"/>
    <w:rsid w:val="00776FC3"/>
    <w:rsid w:val="0077745E"/>
    <w:rsid w:val="007803D5"/>
    <w:rsid w:val="00780E74"/>
    <w:rsid w:val="00781383"/>
    <w:rsid w:val="00781846"/>
    <w:rsid w:val="0078184E"/>
    <w:rsid w:val="007820D8"/>
    <w:rsid w:val="007821F2"/>
    <w:rsid w:val="00782817"/>
    <w:rsid w:val="00782A32"/>
    <w:rsid w:val="00782DA4"/>
    <w:rsid w:val="00783484"/>
    <w:rsid w:val="007834FC"/>
    <w:rsid w:val="0078418B"/>
    <w:rsid w:val="00784450"/>
    <w:rsid w:val="00784B6B"/>
    <w:rsid w:val="00784D5E"/>
    <w:rsid w:val="00785512"/>
    <w:rsid w:val="00785D52"/>
    <w:rsid w:val="00786737"/>
    <w:rsid w:val="00786CB7"/>
    <w:rsid w:val="007870C7"/>
    <w:rsid w:val="0078772E"/>
    <w:rsid w:val="00787D41"/>
    <w:rsid w:val="00790701"/>
    <w:rsid w:val="00790A6D"/>
    <w:rsid w:val="00790BA9"/>
    <w:rsid w:val="00791374"/>
    <w:rsid w:val="0079158B"/>
    <w:rsid w:val="007924B8"/>
    <w:rsid w:val="00792D04"/>
    <w:rsid w:val="00792F61"/>
    <w:rsid w:val="007942A5"/>
    <w:rsid w:val="00794517"/>
    <w:rsid w:val="0079474D"/>
    <w:rsid w:val="007947A5"/>
    <w:rsid w:val="00795529"/>
    <w:rsid w:val="00796300"/>
    <w:rsid w:val="007967B9"/>
    <w:rsid w:val="0079690C"/>
    <w:rsid w:val="00796CF7"/>
    <w:rsid w:val="00797021"/>
    <w:rsid w:val="00797D24"/>
    <w:rsid w:val="007A0287"/>
    <w:rsid w:val="007A03F7"/>
    <w:rsid w:val="007A1CBD"/>
    <w:rsid w:val="007A2D42"/>
    <w:rsid w:val="007A3010"/>
    <w:rsid w:val="007A369B"/>
    <w:rsid w:val="007A4211"/>
    <w:rsid w:val="007A4484"/>
    <w:rsid w:val="007A45F1"/>
    <w:rsid w:val="007A4B81"/>
    <w:rsid w:val="007A53AF"/>
    <w:rsid w:val="007A5B28"/>
    <w:rsid w:val="007A5BC6"/>
    <w:rsid w:val="007A5EEA"/>
    <w:rsid w:val="007A6561"/>
    <w:rsid w:val="007A7809"/>
    <w:rsid w:val="007B023E"/>
    <w:rsid w:val="007B041D"/>
    <w:rsid w:val="007B0436"/>
    <w:rsid w:val="007B0988"/>
    <w:rsid w:val="007B0FCA"/>
    <w:rsid w:val="007B10B5"/>
    <w:rsid w:val="007B154A"/>
    <w:rsid w:val="007B1ADA"/>
    <w:rsid w:val="007B1E70"/>
    <w:rsid w:val="007B2000"/>
    <w:rsid w:val="007B241A"/>
    <w:rsid w:val="007B2DE2"/>
    <w:rsid w:val="007B302C"/>
    <w:rsid w:val="007B312E"/>
    <w:rsid w:val="007B341E"/>
    <w:rsid w:val="007B359E"/>
    <w:rsid w:val="007B3C56"/>
    <w:rsid w:val="007B4265"/>
    <w:rsid w:val="007B575F"/>
    <w:rsid w:val="007B677D"/>
    <w:rsid w:val="007B711C"/>
    <w:rsid w:val="007B7F25"/>
    <w:rsid w:val="007C051B"/>
    <w:rsid w:val="007C0809"/>
    <w:rsid w:val="007C138B"/>
    <w:rsid w:val="007C3261"/>
    <w:rsid w:val="007C3700"/>
    <w:rsid w:val="007C3933"/>
    <w:rsid w:val="007C3D58"/>
    <w:rsid w:val="007C4D60"/>
    <w:rsid w:val="007C4E6E"/>
    <w:rsid w:val="007C596B"/>
    <w:rsid w:val="007C6567"/>
    <w:rsid w:val="007C6737"/>
    <w:rsid w:val="007C69A7"/>
    <w:rsid w:val="007C7591"/>
    <w:rsid w:val="007D0222"/>
    <w:rsid w:val="007D187E"/>
    <w:rsid w:val="007D1921"/>
    <w:rsid w:val="007D2315"/>
    <w:rsid w:val="007D23A8"/>
    <w:rsid w:val="007D2A9C"/>
    <w:rsid w:val="007D34E7"/>
    <w:rsid w:val="007D35FA"/>
    <w:rsid w:val="007D39E9"/>
    <w:rsid w:val="007D446E"/>
    <w:rsid w:val="007D4AF5"/>
    <w:rsid w:val="007D4C16"/>
    <w:rsid w:val="007D6B31"/>
    <w:rsid w:val="007D774D"/>
    <w:rsid w:val="007D77A9"/>
    <w:rsid w:val="007D7865"/>
    <w:rsid w:val="007D7CF3"/>
    <w:rsid w:val="007E053B"/>
    <w:rsid w:val="007E0C99"/>
    <w:rsid w:val="007E1359"/>
    <w:rsid w:val="007E13C7"/>
    <w:rsid w:val="007E3412"/>
    <w:rsid w:val="007E38EE"/>
    <w:rsid w:val="007E3AAC"/>
    <w:rsid w:val="007E439B"/>
    <w:rsid w:val="007E4E50"/>
    <w:rsid w:val="007E52AF"/>
    <w:rsid w:val="007E552B"/>
    <w:rsid w:val="007E5E93"/>
    <w:rsid w:val="007E5EEE"/>
    <w:rsid w:val="007E687A"/>
    <w:rsid w:val="007E6A09"/>
    <w:rsid w:val="007E71D1"/>
    <w:rsid w:val="007F0020"/>
    <w:rsid w:val="007F0201"/>
    <w:rsid w:val="007F07C9"/>
    <w:rsid w:val="007F10A2"/>
    <w:rsid w:val="007F12D5"/>
    <w:rsid w:val="007F16C6"/>
    <w:rsid w:val="007F1AD0"/>
    <w:rsid w:val="007F1E14"/>
    <w:rsid w:val="007F2434"/>
    <w:rsid w:val="007F25D7"/>
    <w:rsid w:val="007F2C38"/>
    <w:rsid w:val="007F2E9E"/>
    <w:rsid w:val="007F3560"/>
    <w:rsid w:val="007F3594"/>
    <w:rsid w:val="007F3CAA"/>
    <w:rsid w:val="007F53C2"/>
    <w:rsid w:val="007F5BCF"/>
    <w:rsid w:val="007F5F64"/>
    <w:rsid w:val="007F64AB"/>
    <w:rsid w:val="007F6754"/>
    <w:rsid w:val="007F6A78"/>
    <w:rsid w:val="007F6BDA"/>
    <w:rsid w:val="007F719F"/>
    <w:rsid w:val="007F7558"/>
    <w:rsid w:val="007F7B8C"/>
    <w:rsid w:val="007F7EE3"/>
    <w:rsid w:val="0080084E"/>
    <w:rsid w:val="008008CB"/>
    <w:rsid w:val="00800D20"/>
    <w:rsid w:val="00802E93"/>
    <w:rsid w:val="00803199"/>
    <w:rsid w:val="008040DD"/>
    <w:rsid w:val="00804D4C"/>
    <w:rsid w:val="00805330"/>
    <w:rsid w:val="008062B2"/>
    <w:rsid w:val="0080687F"/>
    <w:rsid w:val="008069CF"/>
    <w:rsid w:val="008079D8"/>
    <w:rsid w:val="008104A2"/>
    <w:rsid w:val="00810BD1"/>
    <w:rsid w:val="008111AD"/>
    <w:rsid w:val="00811B98"/>
    <w:rsid w:val="00811B9E"/>
    <w:rsid w:val="00812E96"/>
    <w:rsid w:val="00813085"/>
    <w:rsid w:val="008147BA"/>
    <w:rsid w:val="00814DE4"/>
    <w:rsid w:val="00815452"/>
    <w:rsid w:val="0081573D"/>
    <w:rsid w:val="00815B76"/>
    <w:rsid w:val="0081794F"/>
    <w:rsid w:val="00817A23"/>
    <w:rsid w:val="00817D1B"/>
    <w:rsid w:val="00820155"/>
    <w:rsid w:val="00820FA1"/>
    <w:rsid w:val="008218CE"/>
    <w:rsid w:val="00821BD9"/>
    <w:rsid w:val="008223CC"/>
    <w:rsid w:val="008225A0"/>
    <w:rsid w:val="008225B4"/>
    <w:rsid w:val="00822FD6"/>
    <w:rsid w:val="00824677"/>
    <w:rsid w:val="008247BB"/>
    <w:rsid w:val="008248BF"/>
    <w:rsid w:val="008250F2"/>
    <w:rsid w:val="0082513F"/>
    <w:rsid w:val="00825B7C"/>
    <w:rsid w:val="00825C0D"/>
    <w:rsid w:val="008266A5"/>
    <w:rsid w:val="008266F3"/>
    <w:rsid w:val="008269CD"/>
    <w:rsid w:val="00826DA0"/>
    <w:rsid w:val="008272A0"/>
    <w:rsid w:val="00827E38"/>
    <w:rsid w:val="008301CE"/>
    <w:rsid w:val="00830A9C"/>
    <w:rsid w:val="00831A59"/>
    <w:rsid w:val="00831AD6"/>
    <w:rsid w:val="0083210E"/>
    <w:rsid w:val="00832D6F"/>
    <w:rsid w:val="00832DEE"/>
    <w:rsid w:val="00833498"/>
    <w:rsid w:val="00833654"/>
    <w:rsid w:val="00833EDF"/>
    <w:rsid w:val="0083585D"/>
    <w:rsid w:val="00835EB1"/>
    <w:rsid w:val="00836984"/>
    <w:rsid w:val="00837063"/>
    <w:rsid w:val="0083728A"/>
    <w:rsid w:val="008373E7"/>
    <w:rsid w:val="00837A0D"/>
    <w:rsid w:val="00837FB6"/>
    <w:rsid w:val="0084042F"/>
    <w:rsid w:val="00840A05"/>
    <w:rsid w:val="00840FB1"/>
    <w:rsid w:val="00841794"/>
    <w:rsid w:val="00841800"/>
    <w:rsid w:val="0084194D"/>
    <w:rsid w:val="008419BF"/>
    <w:rsid w:val="00842029"/>
    <w:rsid w:val="0084284F"/>
    <w:rsid w:val="0084289F"/>
    <w:rsid w:val="00842E70"/>
    <w:rsid w:val="00843687"/>
    <w:rsid w:val="00843A75"/>
    <w:rsid w:val="00844EA2"/>
    <w:rsid w:val="008450B7"/>
    <w:rsid w:val="008454E5"/>
    <w:rsid w:val="0084636E"/>
    <w:rsid w:val="0084723C"/>
    <w:rsid w:val="00847311"/>
    <w:rsid w:val="00847CF2"/>
    <w:rsid w:val="00850923"/>
    <w:rsid w:val="00850BFB"/>
    <w:rsid w:val="00850F25"/>
    <w:rsid w:val="0085176E"/>
    <w:rsid w:val="00851A5C"/>
    <w:rsid w:val="008521B0"/>
    <w:rsid w:val="0085353B"/>
    <w:rsid w:val="0085450D"/>
    <w:rsid w:val="008549D6"/>
    <w:rsid w:val="00854D70"/>
    <w:rsid w:val="008562A1"/>
    <w:rsid w:val="0085645C"/>
    <w:rsid w:val="00856575"/>
    <w:rsid w:val="00856ADC"/>
    <w:rsid w:val="00856B3F"/>
    <w:rsid w:val="00857473"/>
    <w:rsid w:val="0085762A"/>
    <w:rsid w:val="00860394"/>
    <w:rsid w:val="00861072"/>
    <w:rsid w:val="00861A94"/>
    <w:rsid w:val="00861D53"/>
    <w:rsid w:val="00862574"/>
    <w:rsid w:val="008626B0"/>
    <w:rsid w:val="00862A73"/>
    <w:rsid w:val="008632CF"/>
    <w:rsid w:val="00865898"/>
    <w:rsid w:val="00865D87"/>
    <w:rsid w:val="00866708"/>
    <w:rsid w:val="00866D4A"/>
    <w:rsid w:val="008670CA"/>
    <w:rsid w:val="008671FB"/>
    <w:rsid w:val="00867BE7"/>
    <w:rsid w:val="00867C80"/>
    <w:rsid w:val="00870237"/>
    <w:rsid w:val="00870298"/>
    <w:rsid w:val="00870335"/>
    <w:rsid w:val="00870CA9"/>
    <w:rsid w:val="00870E6C"/>
    <w:rsid w:val="008710C9"/>
    <w:rsid w:val="0087189E"/>
    <w:rsid w:val="00871B75"/>
    <w:rsid w:val="00871BBA"/>
    <w:rsid w:val="00871D6E"/>
    <w:rsid w:val="00871FE8"/>
    <w:rsid w:val="008721AE"/>
    <w:rsid w:val="0087259A"/>
    <w:rsid w:val="00874161"/>
    <w:rsid w:val="00874B02"/>
    <w:rsid w:val="00874D78"/>
    <w:rsid w:val="00875902"/>
    <w:rsid w:val="00875998"/>
    <w:rsid w:val="00875C84"/>
    <w:rsid w:val="0087692C"/>
    <w:rsid w:val="00876AE4"/>
    <w:rsid w:val="00877662"/>
    <w:rsid w:val="00877931"/>
    <w:rsid w:val="008808DF"/>
    <w:rsid w:val="00880D73"/>
    <w:rsid w:val="00880F55"/>
    <w:rsid w:val="00881A80"/>
    <w:rsid w:val="008821EA"/>
    <w:rsid w:val="008823EC"/>
    <w:rsid w:val="008826EB"/>
    <w:rsid w:val="0088438A"/>
    <w:rsid w:val="00884480"/>
    <w:rsid w:val="00884915"/>
    <w:rsid w:val="008859A5"/>
    <w:rsid w:val="008860BC"/>
    <w:rsid w:val="00886B56"/>
    <w:rsid w:val="0088778B"/>
    <w:rsid w:val="00887E1B"/>
    <w:rsid w:val="00890003"/>
    <w:rsid w:val="008901D8"/>
    <w:rsid w:val="00890211"/>
    <w:rsid w:val="00890553"/>
    <w:rsid w:val="00890A77"/>
    <w:rsid w:val="00890A99"/>
    <w:rsid w:val="00890EAE"/>
    <w:rsid w:val="0089106A"/>
    <w:rsid w:val="008911F3"/>
    <w:rsid w:val="00892678"/>
    <w:rsid w:val="00892B3B"/>
    <w:rsid w:val="00892D75"/>
    <w:rsid w:val="00892EBC"/>
    <w:rsid w:val="00892F90"/>
    <w:rsid w:val="0089323D"/>
    <w:rsid w:val="00893437"/>
    <w:rsid w:val="00893C34"/>
    <w:rsid w:val="008945BB"/>
    <w:rsid w:val="00895135"/>
    <w:rsid w:val="008955ED"/>
    <w:rsid w:val="008957D6"/>
    <w:rsid w:val="00895E38"/>
    <w:rsid w:val="00895F18"/>
    <w:rsid w:val="00896AB8"/>
    <w:rsid w:val="00896D93"/>
    <w:rsid w:val="00896E2A"/>
    <w:rsid w:val="008978FE"/>
    <w:rsid w:val="00897B69"/>
    <w:rsid w:val="00897BC9"/>
    <w:rsid w:val="008A03F2"/>
    <w:rsid w:val="008A0458"/>
    <w:rsid w:val="008A0695"/>
    <w:rsid w:val="008A2372"/>
    <w:rsid w:val="008A323E"/>
    <w:rsid w:val="008A3FC8"/>
    <w:rsid w:val="008A4AB4"/>
    <w:rsid w:val="008A4B14"/>
    <w:rsid w:val="008A4B46"/>
    <w:rsid w:val="008A5056"/>
    <w:rsid w:val="008A5756"/>
    <w:rsid w:val="008A5DF7"/>
    <w:rsid w:val="008A5E01"/>
    <w:rsid w:val="008A70DB"/>
    <w:rsid w:val="008A7F37"/>
    <w:rsid w:val="008B007B"/>
    <w:rsid w:val="008B00D7"/>
    <w:rsid w:val="008B0361"/>
    <w:rsid w:val="008B057A"/>
    <w:rsid w:val="008B0AFA"/>
    <w:rsid w:val="008B0F44"/>
    <w:rsid w:val="008B0F76"/>
    <w:rsid w:val="008B199C"/>
    <w:rsid w:val="008B1B58"/>
    <w:rsid w:val="008B2009"/>
    <w:rsid w:val="008B217E"/>
    <w:rsid w:val="008B3374"/>
    <w:rsid w:val="008B34E8"/>
    <w:rsid w:val="008B3500"/>
    <w:rsid w:val="008B3B1B"/>
    <w:rsid w:val="008B43DB"/>
    <w:rsid w:val="008B467B"/>
    <w:rsid w:val="008B46DC"/>
    <w:rsid w:val="008B5105"/>
    <w:rsid w:val="008B51AF"/>
    <w:rsid w:val="008B54D0"/>
    <w:rsid w:val="008B559F"/>
    <w:rsid w:val="008B5804"/>
    <w:rsid w:val="008B5AE1"/>
    <w:rsid w:val="008B5DA2"/>
    <w:rsid w:val="008B61C6"/>
    <w:rsid w:val="008B6313"/>
    <w:rsid w:val="008B63BC"/>
    <w:rsid w:val="008B6A30"/>
    <w:rsid w:val="008B6F77"/>
    <w:rsid w:val="008B70B5"/>
    <w:rsid w:val="008B788C"/>
    <w:rsid w:val="008B78DF"/>
    <w:rsid w:val="008C00E1"/>
    <w:rsid w:val="008C078F"/>
    <w:rsid w:val="008C0BAE"/>
    <w:rsid w:val="008C0D0D"/>
    <w:rsid w:val="008C1428"/>
    <w:rsid w:val="008C210E"/>
    <w:rsid w:val="008C25CE"/>
    <w:rsid w:val="008C25E3"/>
    <w:rsid w:val="008C3687"/>
    <w:rsid w:val="008C36DC"/>
    <w:rsid w:val="008C4564"/>
    <w:rsid w:val="008C49AE"/>
    <w:rsid w:val="008C4A5D"/>
    <w:rsid w:val="008C4D79"/>
    <w:rsid w:val="008C4DF1"/>
    <w:rsid w:val="008C4EC2"/>
    <w:rsid w:val="008C5AA8"/>
    <w:rsid w:val="008C5D80"/>
    <w:rsid w:val="008C60D9"/>
    <w:rsid w:val="008C621C"/>
    <w:rsid w:val="008C64AD"/>
    <w:rsid w:val="008C6524"/>
    <w:rsid w:val="008C7179"/>
    <w:rsid w:val="008C754F"/>
    <w:rsid w:val="008C7A1F"/>
    <w:rsid w:val="008D0B98"/>
    <w:rsid w:val="008D1074"/>
    <w:rsid w:val="008D1A01"/>
    <w:rsid w:val="008D2631"/>
    <w:rsid w:val="008D32D4"/>
    <w:rsid w:val="008D438B"/>
    <w:rsid w:val="008D4423"/>
    <w:rsid w:val="008D4539"/>
    <w:rsid w:val="008D4F73"/>
    <w:rsid w:val="008D5644"/>
    <w:rsid w:val="008D5C94"/>
    <w:rsid w:val="008D5EA0"/>
    <w:rsid w:val="008D698D"/>
    <w:rsid w:val="008D6B62"/>
    <w:rsid w:val="008D6F52"/>
    <w:rsid w:val="008D7E66"/>
    <w:rsid w:val="008D7EDC"/>
    <w:rsid w:val="008D7FDF"/>
    <w:rsid w:val="008E0449"/>
    <w:rsid w:val="008E055A"/>
    <w:rsid w:val="008E093D"/>
    <w:rsid w:val="008E0D34"/>
    <w:rsid w:val="008E1A1A"/>
    <w:rsid w:val="008E1ED9"/>
    <w:rsid w:val="008E2FB3"/>
    <w:rsid w:val="008E34A8"/>
    <w:rsid w:val="008E3CEF"/>
    <w:rsid w:val="008E4E92"/>
    <w:rsid w:val="008E505C"/>
    <w:rsid w:val="008E50B8"/>
    <w:rsid w:val="008E59E9"/>
    <w:rsid w:val="008E5AF0"/>
    <w:rsid w:val="008E5B94"/>
    <w:rsid w:val="008E5C12"/>
    <w:rsid w:val="008E6095"/>
    <w:rsid w:val="008E699D"/>
    <w:rsid w:val="008E6C6C"/>
    <w:rsid w:val="008E6DBF"/>
    <w:rsid w:val="008E7016"/>
    <w:rsid w:val="008E7021"/>
    <w:rsid w:val="008F13A0"/>
    <w:rsid w:val="008F1B5A"/>
    <w:rsid w:val="008F20EA"/>
    <w:rsid w:val="008F2369"/>
    <w:rsid w:val="008F253C"/>
    <w:rsid w:val="008F2C76"/>
    <w:rsid w:val="008F320C"/>
    <w:rsid w:val="008F3614"/>
    <w:rsid w:val="008F388A"/>
    <w:rsid w:val="008F397A"/>
    <w:rsid w:val="008F3B62"/>
    <w:rsid w:val="008F4836"/>
    <w:rsid w:val="008F5A28"/>
    <w:rsid w:val="008F60AE"/>
    <w:rsid w:val="008F6323"/>
    <w:rsid w:val="008F6E86"/>
    <w:rsid w:val="008F76DC"/>
    <w:rsid w:val="008F7F20"/>
    <w:rsid w:val="00900254"/>
    <w:rsid w:val="0090039A"/>
    <w:rsid w:val="009004DB"/>
    <w:rsid w:val="009006CF"/>
    <w:rsid w:val="00900941"/>
    <w:rsid w:val="00901791"/>
    <w:rsid w:val="00901903"/>
    <w:rsid w:val="00901991"/>
    <w:rsid w:val="00902045"/>
    <w:rsid w:val="00903398"/>
    <w:rsid w:val="00903A5A"/>
    <w:rsid w:val="00903C5B"/>
    <w:rsid w:val="00903F05"/>
    <w:rsid w:val="00904CFB"/>
    <w:rsid w:val="009058DE"/>
    <w:rsid w:val="009059F3"/>
    <w:rsid w:val="00905ECA"/>
    <w:rsid w:val="0090626E"/>
    <w:rsid w:val="0090662F"/>
    <w:rsid w:val="00906CEE"/>
    <w:rsid w:val="0090790D"/>
    <w:rsid w:val="00910236"/>
    <w:rsid w:val="00910B99"/>
    <w:rsid w:val="00910BE2"/>
    <w:rsid w:val="009111E6"/>
    <w:rsid w:val="0091189A"/>
    <w:rsid w:val="00912979"/>
    <w:rsid w:val="00912C0D"/>
    <w:rsid w:val="0091315D"/>
    <w:rsid w:val="00913547"/>
    <w:rsid w:val="0091377D"/>
    <w:rsid w:val="00913E2E"/>
    <w:rsid w:val="0091420A"/>
    <w:rsid w:val="00914284"/>
    <w:rsid w:val="0091451B"/>
    <w:rsid w:val="00914522"/>
    <w:rsid w:val="009147A1"/>
    <w:rsid w:val="00914974"/>
    <w:rsid w:val="00914ED6"/>
    <w:rsid w:val="00914EFC"/>
    <w:rsid w:val="009156D7"/>
    <w:rsid w:val="00916F93"/>
    <w:rsid w:val="0091732F"/>
    <w:rsid w:val="00917681"/>
    <w:rsid w:val="00917E71"/>
    <w:rsid w:val="00920500"/>
    <w:rsid w:val="00921732"/>
    <w:rsid w:val="00921AEE"/>
    <w:rsid w:val="00921B8D"/>
    <w:rsid w:val="00921C44"/>
    <w:rsid w:val="0092246A"/>
    <w:rsid w:val="009225C7"/>
    <w:rsid w:val="00922AC9"/>
    <w:rsid w:val="00922C05"/>
    <w:rsid w:val="0092327C"/>
    <w:rsid w:val="009237CC"/>
    <w:rsid w:val="00924101"/>
    <w:rsid w:val="009241AA"/>
    <w:rsid w:val="00924D9E"/>
    <w:rsid w:val="00924FBD"/>
    <w:rsid w:val="00925ADC"/>
    <w:rsid w:val="0092603E"/>
    <w:rsid w:val="0092635B"/>
    <w:rsid w:val="009268FE"/>
    <w:rsid w:val="00926AE6"/>
    <w:rsid w:val="00927068"/>
    <w:rsid w:val="00927111"/>
    <w:rsid w:val="00927DDA"/>
    <w:rsid w:val="0093095A"/>
    <w:rsid w:val="00931066"/>
    <w:rsid w:val="009315D9"/>
    <w:rsid w:val="009315E5"/>
    <w:rsid w:val="0093170A"/>
    <w:rsid w:val="0093173C"/>
    <w:rsid w:val="009326CF"/>
    <w:rsid w:val="00932F43"/>
    <w:rsid w:val="009338CB"/>
    <w:rsid w:val="009348D4"/>
    <w:rsid w:val="00934904"/>
    <w:rsid w:val="0093490E"/>
    <w:rsid w:val="00934A4D"/>
    <w:rsid w:val="00936636"/>
    <w:rsid w:val="0093667F"/>
    <w:rsid w:val="009367FC"/>
    <w:rsid w:val="00936E30"/>
    <w:rsid w:val="00937291"/>
    <w:rsid w:val="00937BBE"/>
    <w:rsid w:val="009400D5"/>
    <w:rsid w:val="00940492"/>
    <w:rsid w:val="00940968"/>
    <w:rsid w:val="00941CD4"/>
    <w:rsid w:val="0094209E"/>
    <w:rsid w:val="009426A5"/>
    <w:rsid w:val="009427B9"/>
    <w:rsid w:val="009427E0"/>
    <w:rsid w:val="009429BA"/>
    <w:rsid w:val="009430DF"/>
    <w:rsid w:val="00943238"/>
    <w:rsid w:val="009444BE"/>
    <w:rsid w:val="00944BF7"/>
    <w:rsid w:val="00944C77"/>
    <w:rsid w:val="00945A70"/>
    <w:rsid w:val="00946067"/>
    <w:rsid w:val="00946EFB"/>
    <w:rsid w:val="009475DC"/>
    <w:rsid w:val="00947A4F"/>
    <w:rsid w:val="00947C63"/>
    <w:rsid w:val="00947F2A"/>
    <w:rsid w:val="00950005"/>
    <w:rsid w:val="0095016E"/>
    <w:rsid w:val="009506C1"/>
    <w:rsid w:val="00950A76"/>
    <w:rsid w:val="009522B8"/>
    <w:rsid w:val="00952ACF"/>
    <w:rsid w:val="00953B16"/>
    <w:rsid w:val="00953EE8"/>
    <w:rsid w:val="00954129"/>
    <w:rsid w:val="009541D7"/>
    <w:rsid w:val="0095427C"/>
    <w:rsid w:val="0095487D"/>
    <w:rsid w:val="00954E09"/>
    <w:rsid w:val="00955411"/>
    <w:rsid w:val="00955B2C"/>
    <w:rsid w:val="00955D3F"/>
    <w:rsid w:val="00956A02"/>
    <w:rsid w:val="00956A23"/>
    <w:rsid w:val="00956E44"/>
    <w:rsid w:val="009576E7"/>
    <w:rsid w:val="00957B63"/>
    <w:rsid w:val="00957C03"/>
    <w:rsid w:val="009609C6"/>
    <w:rsid w:val="0096151C"/>
    <w:rsid w:val="0096172A"/>
    <w:rsid w:val="009624D0"/>
    <w:rsid w:val="00962556"/>
    <w:rsid w:val="009625ED"/>
    <w:rsid w:val="00962B73"/>
    <w:rsid w:val="00963042"/>
    <w:rsid w:val="00963CAE"/>
    <w:rsid w:val="00963CDF"/>
    <w:rsid w:val="00964A5B"/>
    <w:rsid w:val="009652B6"/>
    <w:rsid w:val="00965B1F"/>
    <w:rsid w:val="00965BB7"/>
    <w:rsid w:val="00965FC7"/>
    <w:rsid w:val="009667B6"/>
    <w:rsid w:val="009668F9"/>
    <w:rsid w:val="00966954"/>
    <w:rsid w:val="00966A36"/>
    <w:rsid w:val="00966B8A"/>
    <w:rsid w:val="0097021C"/>
    <w:rsid w:val="00970963"/>
    <w:rsid w:val="00970D68"/>
    <w:rsid w:val="00970F65"/>
    <w:rsid w:val="0097181A"/>
    <w:rsid w:val="009725AC"/>
    <w:rsid w:val="00972A8F"/>
    <w:rsid w:val="00972E59"/>
    <w:rsid w:val="00972EC0"/>
    <w:rsid w:val="00972F16"/>
    <w:rsid w:val="009734AD"/>
    <w:rsid w:val="009736F0"/>
    <w:rsid w:val="009741FF"/>
    <w:rsid w:val="00974652"/>
    <w:rsid w:val="009747CC"/>
    <w:rsid w:val="00974EB8"/>
    <w:rsid w:val="0097535B"/>
    <w:rsid w:val="00975685"/>
    <w:rsid w:val="009758CA"/>
    <w:rsid w:val="009758FF"/>
    <w:rsid w:val="00975B71"/>
    <w:rsid w:val="00975CCE"/>
    <w:rsid w:val="00976660"/>
    <w:rsid w:val="00976C3B"/>
    <w:rsid w:val="009774EE"/>
    <w:rsid w:val="0097760E"/>
    <w:rsid w:val="0097774A"/>
    <w:rsid w:val="00977E07"/>
    <w:rsid w:val="0098006E"/>
    <w:rsid w:val="00980213"/>
    <w:rsid w:val="00980D2A"/>
    <w:rsid w:val="00981347"/>
    <w:rsid w:val="00981451"/>
    <w:rsid w:val="00981B51"/>
    <w:rsid w:val="009822FE"/>
    <w:rsid w:val="009826CF"/>
    <w:rsid w:val="009826D8"/>
    <w:rsid w:val="0098281F"/>
    <w:rsid w:val="00983EC6"/>
    <w:rsid w:val="0098402F"/>
    <w:rsid w:val="0098441A"/>
    <w:rsid w:val="00984ED8"/>
    <w:rsid w:val="00985124"/>
    <w:rsid w:val="00985663"/>
    <w:rsid w:val="00985B4B"/>
    <w:rsid w:val="00985BA0"/>
    <w:rsid w:val="009867CB"/>
    <w:rsid w:val="009869A2"/>
    <w:rsid w:val="00986D1B"/>
    <w:rsid w:val="009874E3"/>
    <w:rsid w:val="0098759A"/>
    <w:rsid w:val="00987AA7"/>
    <w:rsid w:val="00987D14"/>
    <w:rsid w:val="00990D98"/>
    <w:rsid w:val="00991303"/>
    <w:rsid w:val="0099192E"/>
    <w:rsid w:val="00991B87"/>
    <w:rsid w:val="00992794"/>
    <w:rsid w:val="00993BC6"/>
    <w:rsid w:val="0099437E"/>
    <w:rsid w:val="00994CA5"/>
    <w:rsid w:val="009951CD"/>
    <w:rsid w:val="0099664E"/>
    <w:rsid w:val="0099705B"/>
    <w:rsid w:val="009970F8"/>
    <w:rsid w:val="00997C7C"/>
    <w:rsid w:val="009A02D0"/>
    <w:rsid w:val="009A0A68"/>
    <w:rsid w:val="009A1331"/>
    <w:rsid w:val="009A170D"/>
    <w:rsid w:val="009A3A6A"/>
    <w:rsid w:val="009A3B7C"/>
    <w:rsid w:val="009A5605"/>
    <w:rsid w:val="009A587C"/>
    <w:rsid w:val="009A5AB2"/>
    <w:rsid w:val="009A5C56"/>
    <w:rsid w:val="009A64FD"/>
    <w:rsid w:val="009A65E0"/>
    <w:rsid w:val="009A6E70"/>
    <w:rsid w:val="009A6FE9"/>
    <w:rsid w:val="009B00D0"/>
    <w:rsid w:val="009B040F"/>
    <w:rsid w:val="009B0F3D"/>
    <w:rsid w:val="009B1B92"/>
    <w:rsid w:val="009B1D55"/>
    <w:rsid w:val="009B1F00"/>
    <w:rsid w:val="009B1F64"/>
    <w:rsid w:val="009B3807"/>
    <w:rsid w:val="009B44B8"/>
    <w:rsid w:val="009B4765"/>
    <w:rsid w:val="009B51BF"/>
    <w:rsid w:val="009B5313"/>
    <w:rsid w:val="009B54D3"/>
    <w:rsid w:val="009B563D"/>
    <w:rsid w:val="009B5717"/>
    <w:rsid w:val="009B5A18"/>
    <w:rsid w:val="009B6173"/>
    <w:rsid w:val="009B6711"/>
    <w:rsid w:val="009B6CFA"/>
    <w:rsid w:val="009C00A6"/>
    <w:rsid w:val="009C0EAB"/>
    <w:rsid w:val="009C0FAB"/>
    <w:rsid w:val="009C135E"/>
    <w:rsid w:val="009C19D2"/>
    <w:rsid w:val="009C1C1B"/>
    <w:rsid w:val="009C282E"/>
    <w:rsid w:val="009C37CF"/>
    <w:rsid w:val="009C4886"/>
    <w:rsid w:val="009C5166"/>
    <w:rsid w:val="009C7043"/>
    <w:rsid w:val="009D0440"/>
    <w:rsid w:val="009D09A1"/>
    <w:rsid w:val="009D197A"/>
    <w:rsid w:val="009D1D75"/>
    <w:rsid w:val="009D2135"/>
    <w:rsid w:val="009D2904"/>
    <w:rsid w:val="009D2C4B"/>
    <w:rsid w:val="009D335D"/>
    <w:rsid w:val="009D3A78"/>
    <w:rsid w:val="009D49F0"/>
    <w:rsid w:val="009D4F17"/>
    <w:rsid w:val="009D560D"/>
    <w:rsid w:val="009D587A"/>
    <w:rsid w:val="009D58B8"/>
    <w:rsid w:val="009D5DE3"/>
    <w:rsid w:val="009D642C"/>
    <w:rsid w:val="009D66A7"/>
    <w:rsid w:val="009D6776"/>
    <w:rsid w:val="009D6E62"/>
    <w:rsid w:val="009D7A38"/>
    <w:rsid w:val="009D7A57"/>
    <w:rsid w:val="009D7BCB"/>
    <w:rsid w:val="009D7C57"/>
    <w:rsid w:val="009E0289"/>
    <w:rsid w:val="009E0770"/>
    <w:rsid w:val="009E0ACD"/>
    <w:rsid w:val="009E0FFC"/>
    <w:rsid w:val="009E1418"/>
    <w:rsid w:val="009E1887"/>
    <w:rsid w:val="009E25CC"/>
    <w:rsid w:val="009E3E6D"/>
    <w:rsid w:val="009E3F70"/>
    <w:rsid w:val="009E50D8"/>
    <w:rsid w:val="009E58BF"/>
    <w:rsid w:val="009E5A0E"/>
    <w:rsid w:val="009E5B14"/>
    <w:rsid w:val="009E63F6"/>
    <w:rsid w:val="009E6522"/>
    <w:rsid w:val="009E6719"/>
    <w:rsid w:val="009E68C3"/>
    <w:rsid w:val="009E6A94"/>
    <w:rsid w:val="009E6E1F"/>
    <w:rsid w:val="009E7BE8"/>
    <w:rsid w:val="009F0635"/>
    <w:rsid w:val="009F0AE8"/>
    <w:rsid w:val="009F13CD"/>
    <w:rsid w:val="009F1C85"/>
    <w:rsid w:val="009F2009"/>
    <w:rsid w:val="009F21FA"/>
    <w:rsid w:val="009F2B65"/>
    <w:rsid w:val="009F34EB"/>
    <w:rsid w:val="009F378E"/>
    <w:rsid w:val="009F42D3"/>
    <w:rsid w:val="009F43F5"/>
    <w:rsid w:val="009F538C"/>
    <w:rsid w:val="009F5BD5"/>
    <w:rsid w:val="009F5D0C"/>
    <w:rsid w:val="009F5D78"/>
    <w:rsid w:val="009F61F7"/>
    <w:rsid w:val="009F68DB"/>
    <w:rsid w:val="009F6A52"/>
    <w:rsid w:val="009F6BC8"/>
    <w:rsid w:val="009F7350"/>
    <w:rsid w:val="009F7793"/>
    <w:rsid w:val="009F780A"/>
    <w:rsid w:val="009F78E2"/>
    <w:rsid w:val="00A00954"/>
    <w:rsid w:val="00A010F4"/>
    <w:rsid w:val="00A02A04"/>
    <w:rsid w:val="00A04904"/>
    <w:rsid w:val="00A04DF0"/>
    <w:rsid w:val="00A06522"/>
    <w:rsid w:val="00A065DE"/>
    <w:rsid w:val="00A07538"/>
    <w:rsid w:val="00A07850"/>
    <w:rsid w:val="00A10566"/>
    <w:rsid w:val="00A10C43"/>
    <w:rsid w:val="00A10E3C"/>
    <w:rsid w:val="00A11281"/>
    <w:rsid w:val="00A116D2"/>
    <w:rsid w:val="00A124BF"/>
    <w:rsid w:val="00A12873"/>
    <w:rsid w:val="00A12947"/>
    <w:rsid w:val="00A12A9F"/>
    <w:rsid w:val="00A13808"/>
    <w:rsid w:val="00A141E5"/>
    <w:rsid w:val="00A147BE"/>
    <w:rsid w:val="00A15CEF"/>
    <w:rsid w:val="00A16098"/>
    <w:rsid w:val="00A160C0"/>
    <w:rsid w:val="00A16115"/>
    <w:rsid w:val="00A16D79"/>
    <w:rsid w:val="00A17739"/>
    <w:rsid w:val="00A17A97"/>
    <w:rsid w:val="00A17BF7"/>
    <w:rsid w:val="00A20595"/>
    <w:rsid w:val="00A20924"/>
    <w:rsid w:val="00A20DEE"/>
    <w:rsid w:val="00A21383"/>
    <w:rsid w:val="00A213D3"/>
    <w:rsid w:val="00A21848"/>
    <w:rsid w:val="00A21D55"/>
    <w:rsid w:val="00A21DF6"/>
    <w:rsid w:val="00A2217C"/>
    <w:rsid w:val="00A221EE"/>
    <w:rsid w:val="00A224EC"/>
    <w:rsid w:val="00A22C5D"/>
    <w:rsid w:val="00A239F1"/>
    <w:rsid w:val="00A23AC2"/>
    <w:rsid w:val="00A23D0D"/>
    <w:rsid w:val="00A24BAE"/>
    <w:rsid w:val="00A2521F"/>
    <w:rsid w:val="00A25913"/>
    <w:rsid w:val="00A25B2D"/>
    <w:rsid w:val="00A267D9"/>
    <w:rsid w:val="00A26CC8"/>
    <w:rsid w:val="00A26D04"/>
    <w:rsid w:val="00A26E24"/>
    <w:rsid w:val="00A2756B"/>
    <w:rsid w:val="00A27D04"/>
    <w:rsid w:val="00A30313"/>
    <w:rsid w:val="00A3097E"/>
    <w:rsid w:val="00A30BCD"/>
    <w:rsid w:val="00A31B8F"/>
    <w:rsid w:val="00A326E6"/>
    <w:rsid w:val="00A33029"/>
    <w:rsid w:val="00A336D9"/>
    <w:rsid w:val="00A3478D"/>
    <w:rsid w:val="00A34A2C"/>
    <w:rsid w:val="00A34FE6"/>
    <w:rsid w:val="00A35054"/>
    <w:rsid w:val="00A350CA"/>
    <w:rsid w:val="00A35114"/>
    <w:rsid w:val="00A35136"/>
    <w:rsid w:val="00A3544F"/>
    <w:rsid w:val="00A359EF"/>
    <w:rsid w:val="00A36211"/>
    <w:rsid w:val="00A36A01"/>
    <w:rsid w:val="00A36ACC"/>
    <w:rsid w:val="00A37651"/>
    <w:rsid w:val="00A37A87"/>
    <w:rsid w:val="00A37B73"/>
    <w:rsid w:val="00A40611"/>
    <w:rsid w:val="00A40769"/>
    <w:rsid w:val="00A40DB1"/>
    <w:rsid w:val="00A423C5"/>
    <w:rsid w:val="00A42513"/>
    <w:rsid w:val="00A42A6C"/>
    <w:rsid w:val="00A42C5F"/>
    <w:rsid w:val="00A42C91"/>
    <w:rsid w:val="00A4328F"/>
    <w:rsid w:val="00A43FD8"/>
    <w:rsid w:val="00A44494"/>
    <w:rsid w:val="00A445A8"/>
    <w:rsid w:val="00A44812"/>
    <w:rsid w:val="00A44AA4"/>
    <w:rsid w:val="00A451E5"/>
    <w:rsid w:val="00A46F98"/>
    <w:rsid w:val="00A47C05"/>
    <w:rsid w:val="00A47DB3"/>
    <w:rsid w:val="00A47FE2"/>
    <w:rsid w:val="00A501A9"/>
    <w:rsid w:val="00A50574"/>
    <w:rsid w:val="00A516EF"/>
    <w:rsid w:val="00A51A26"/>
    <w:rsid w:val="00A52727"/>
    <w:rsid w:val="00A52C50"/>
    <w:rsid w:val="00A52D54"/>
    <w:rsid w:val="00A52D9D"/>
    <w:rsid w:val="00A52DD2"/>
    <w:rsid w:val="00A532B7"/>
    <w:rsid w:val="00A53607"/>
    <w:rsid w:val="00A53D34"/>
    <w:rsid w:val="00A542DD"/>
    <w:rsid w:val="00A5475F"/>
    <w:rsid w:val="00A54881"/>
    <w:rsid w:val="00A55AAF"/>
    <w:rsid w:val="00A57613"/>
    <w:rsid w:val="00A57693"/>
    <w:rsid w:val="00A5778E"/>
    <w:rsid w:val="00A57C75"/>
    <w:rsid w:val="00A57D21"/>
    <w:rsid w:val="00A60CF6"/>
    <w:rsid w:val="00A6125B"/>
    <w:rsid w:val="00A612D8"/>
    <w:rsid w:val="00A61925"/>
    <w:rsid w:val="00A61AD5"/>
    <w:rsid w:val="00A61B2F"/>
    <w:rsid w:val="00A620F5"/>
    <w:rsid w:val="00A63631"/>
    <w:rsid w:val="00A640E9"/>
    <w:rsid w:val="00A64455"/>
    <w:rsid w:val="00A64877"/>
    <w:rsid w:val="00A64FBA"/>
    <w:rsid w:val="00A66562"/>
    <w:rsid w:val="00A66C28"/>
    <w:rsid w:val="00A66C42"/>
    <w:rsid w:val="00A6705D"/>
    <w:rsid w:val="00A67577"/>
    <w:rsid w:val="00A67763"/>
    <w:rsid w:val="00A70BDD"/>
    <w:rsid w:val="00A71087"/>
    <w:rsid w:val="00A716C0"/>
    <w:rsid w:val="00A71957"/>
    <w:rsid w:val="00A71A06"/>
    <w:rsid w:val="00A7203C"/>
    <w:rsid w:val="00A72DF6"/>
    <w:rsid w:val="00A72F19"/>
    <w:rsid w:val="00A73C2F"/>
    <w:rsid w:val="00A74161"/>
    <w:rsid w:val="00A74CCA"/>
    <w:rsid w:val="00A74E3F"/>
    <w:rsid w:val="00A7571B"/>
    <w:rsid w:val="00A7583D"/>
    <w:rsid w:val="00A7619A"/>
    <w:rsid w:val="00A7686B"/>
    <w:rsid w:val="00A76AF2"/>
    <w:rsid w:val="00A807BE"/>
    <w:rsid w:val="00A80F6D"/>
    <w:rsid w:val="00A81360"/>
    <w:rsid w:val="00A816FB"/>
    <w:rsid w:val="00A820A1"/>
    <w:rsid w:val="00A82A0D"/>
    <w:rsid w:val="00A82AD1"/>
    <w:rsid w:val="00A82D2E"/>
    <w:rsid w:val="00A841F2"/>
    <w:rsid w:val="00A84654"/>
    <w:rsid w:val="00A84D07"/>
    <w:rsid w:val="00A85B02"/>
    <w:rsid w:val="00A85B28"/>
    <w:rsid w:val="00A861D8"/>
    <w:rsid w:val="00A866DD"/>
    <w:rsid w:val="00A86F76"/>
    <w:rsid w:val="00A8700F"/>
    <w:rsid w:val="00A87060"/>
    <w:rsid w:val="00A87935"/>
    <w:rsid w:val="00A90428"/>
    <w:rsid w:val="00A90977"/>
    <w:rsid w:val="00A910CE"/>
    <w:rsid w:val="00A910D3"/>
    <w:rsid w:val="00A919AA"/>
    <w:rsid w:val="00A926FA"/>
    <w:rsid w:val="00A9303A"/>
    <w:rsid w:val="00A93220"/>
    <w:rsid w:val="00A9346F"/>
    <w:rsid w:val="00A93ED4"/>
    <w:rsid w:val="00A94984"/>
    <w:rsid w:val="00A94C72"/>
    <w:rsid w:val="00A94D7F"/>
    <w:rsid w:val="00A94D98"/>
    <w:rsid w:val="00A95F40"/>
    <w:rsid w:val="00A963A7"/>
    <w:rsid w:val="00A9651C"/>
    <w:rsid w:val="00A96930"/>
    <w:rsid w:val="00A97F4C"/>
    <w:rsid w:val="00AA002E"/>
    <w:rsid w:val="00AA02F0"/>
    <w:rsid w:val="00AA0755"/>
    <w:rsid w:val="00AA1330"/>
    <w:rsid w:val="00AA156A"/>
    <w:rsid w:val="00AA2268"/>
    <w:rsid w:val="00AA2C2F"/>
    <w:rsid w:val="00AA3236"/>
    <w:rsid w:val="00AA3271"/>
    <w:rsid w:val="00AA3373"/>
    <w:rsid w:val="00AA38F9"/>
    <w:rsid w:val="00AA42FD"/>
    <w:rsid w:val="00AA4616"/>
    <w:rsid w:val="00AA4BB0"/>
    <w:rsid w:val="00AA5BBC"/>
    <w:rsid w:val="00AA6712"/>
    <w:rsid w:val="00AA6EE7"/>
    <w:rsid w:val="00AA7257"/>
    <w:rsid w:val="00AB02E7"/>
    <w:rsid w:val="00AB04CF"/>
    <w:rsid w:val="00AB0697"/>
    <w:rsid w:val="00AB093F"/>
    <w:rsid w:val="00AB0ABF"/>
    <w:rsid w:val="00AB0E7C"/>
    <w:rsid w:val="00AB1A56"/>
    <w:rsid w:val="00AB1DAD"/>
    <w:rsid w:val="00AB2856"/>
    <w:rsid w:val="00AB328B"/>
    <w:rsid w:val="00AB36E6"/>
    <w:rsid w:val="00AB3BB0"/>
    <w:rsid w:val="00AB3E1D"/>
    <w:rsid w:val="00AB494A"/>
    <w:rsid w:val="00AB4BA2"/>
    <w:rsid w:val="00AB4E1A"/>
    <w:rsid w:val="00AB4FB2"/>
    <w:rsid w:val="00AB5404"/>
    <w:rsid w:val="00AB5EEB"/>
    <w:rsid w:val="00AB6834"/>
    <w:rsid w:val="00AB6B00"/>
    <w:rsid w:val="00AB76EA"/>
    <w:rsid w:val="00AC01AC"/>
    <w:rsid w:val="00AC07A0"/>
    <w:rsid w:val="00AC1302"/>
    <w:rsid w:val="00AC151F"/>
    <w:rsid w:val="00AC2C5A"/>
    <w:rsid w:val="00AC2CF4"/>
    <w:rsid w:val="00AC3681"/>
    <w:rsid w:val="00AC36F8"/>
    <w:rsid w:val="00AC3BD7"/>
    <w:rsid w:val="00AC6C9F"/>
    <w:rsid w:val="00AC6E21"/>
    <w:rsid w:val="00AC70FE"/>
    <w:rsid w:val="00AC7595"/>
    <w:rsid w:val="00AC79A8"/>
    <w:rsid w:val="00AC7B3B"/>
    <w:rsid w:val="00AD0106"/>
    <w:rsid w:val="00AD013A"/>
    <w:rsid w:val="00AD05D3"/>
    <w:rsid w:val="00AD0606"/>
    <w:rsid w:val="00AD0944"/>
    <w:rsid w:val="00AD15D7"/>
    <w:rsid w:val="00AD1606"/>
    <w:rsid w:val="00AD1A19"/>
    <w:rsid w:val="00AD1B4E"/>
    <w:rsid w:val="00AD28D5"/>
    <w:rsid w:val="00AD2DCB"/>
    <w:rsid w:val="00AD3B89"/>
    <w:rsid w:val="00AD4546"/>
    <w:rsid w:val="00AD47D8"/>
    <w:rsid w:val="00AD4EB6"/>
    <w:rsid w:val="00AD55B1"/>
    <w:rsid w:val="00AD5DFB"/>
    <w:rsid w:val="00AD6637"/>
    <w:rsid w:val="00AD69DF"/>
    <w:rsid w:val="00AD6E62"/>
    <w:rsid w:val="00AD6F50"/>
    <w:rsid w:val="00AD7241"/>
    <w:rsid w:val="00AD7732"/>
    <w:rsid w:val="00AD77ED"/>
    <w:rsid w:val="00AD7C8F"/>
    <w:rsid w:val="00AE025A"/>
    <w:rsid w:val="00AE14E1"/>
    <w:rsid w:val="00AE2718"/>
    <w:rsid w:val="00AE2884"/>
    <w:rsid w:val="00AE2950"/>
    <w:rsid w:val="00AE2C5E"/>
    <w:rsid w:val="00AE2FE6"/>
    <w:rsid w:val="00AE3B3F"/>
    <w:rsid w:val="00AE3E74"/>
    <w:rsid w:val="00AE43CF"/>
    <w:rsid w:val="00AE466F"/>
    <w:rsid w:val="00AE50E4"/>
    <w:rsid w:val="00AE5ADE"/>
    <w:rsid w:val="00AE6537"/>
    <w:rsid w:val="00AE6800"/>
    <w:rsid w:val="00AE6F23"/>
    <w:rsid w:val="00AE7485"/>
    <w:rsid w:val="00AF11D4"/>
    <w:rsid w:val="00AF1651"/>
    <w:rsid w:val="00AF1DE7"/>
    <w:rsid w:val="00AF1F16"/>
    <w:rsid w:val="00AF1F20"/>
    <w:rsid w:val="00AF25FC"/>
    <w:rsid w:val="00AF2C22"/>
    <w:rsid w:val="00AF309C"/>
    <w:rsid w:val="00AF3507"/>
    <w:rsid w:val="00AF358F"/>
    <w:rsid w:val="00AF388E"/>
    <w:rsid w:val="00AF3E24"/>
    <w:rsid w:val="00AF4952"/>
    <w:rsid w:val="00AF5619"/>
    <w:rsid w:val="00AF57E6"/>
    <w:rsid w:val="00AF6451"/>
    <w:rsid w:val="00AF6568"/>
    <w:rsid w:val="00AF66D9"/>
    <w:rsid w:val="00AF69DC"/>
    <w:rsid w:val="00AF7030"/>
    <w:rsid w:val="00AF7897"/>
    <w:rsid w:val="00AF7A5A"/>
    <w:rsid w:val="00AF7BC2"/>
    <w:rsid w:val="00B01004"/>
    <w:rsid w:val="00B01912"/>
    <w:rsid w:val="00B0219B"/>
    <w:rsid w:val="00B022A1"/>
    <w:rsid w:val="00B023F3"/>
    <w:rsid w:val="00B02B22"/>
    <w:rsid w:val="00B034F2"/>
    <w:rsid w:val="00B036A2"/>
    <w:rsid w:val="00B03CF8"/>
    <w:rsid w:val="00B03E35"/>
    <w:rsid w:val="00B04ECE"/>
    <w:rsid w:val="00B04F09"/>
    <w:rsid w:val="00B0596D"/>
    <w:rsid w:val="00B0603A"/>
    <w:rsid w:val="00B062E7"/>
    <w:rsid w:val="00B0685F"/>
    <w:rsid w:val="00B06A3B"/>
    <w:rsid w:val="00B06E40"/>
    <w:rsid w:val="00B075F3"/>
    <w:rsid w:val="00B077ED"/>
    <w:rsid w:val="00B07C81"/>
    <w:rsid w:val="00B07D25"/>
    <w:rsid w:val="00B07E3D"/>
    <w:rsid w:val="00B10067"/>
    <w:rsid w:val="00B10B13"/>
    <w:rsid w:val="00B11D48"/>
    <w:rsid w:val="00B11D63"/>
    <w:rsid w:val="00B12098"/>
    <w:rsid w:val="00B12136"/>
    <w:rsid w:val="00B12201"/>
    <w:rsid w:val="00B125D4"/>
    <w:rsid w:val="00B1269C"/>
    <w:rsid w:val="00B1295A"/>
    <w:rsid w:val="00B12A14"/>
    <w:rsid w:val="00B13141"/>
    <w:rsid w:val="00B13473"/>
    <w:rsid w:val="00B13769"/>
    <w:rsid w:val="00B14221"/>
    <w:rsid w:val="00B14471"/>
    <w:rsid w:val="00B1467D"/>
    <w:rsid w:val="00B14841"/>
    <w:rsid w:val="00B15261"/>
    <w:rsid w:val="00B15D01"/>
    <w:rsid w:val="00B15EC2"/>
    <w:rsid w:val="00B1640F"/>
    <w:rsid w:val="00B16465"/>
    <w:rsid w:val="00B16E1B"/>
    <w:rsid w:val="00B16F07"/>
    <w:rsid w:val="00B17388"/>
    <w:rsid w:val="00B17D38"/>
    <w:rsid w:val="00B17FEF"/>
    <w:rsid w:val="00B20255"/>
    <w:rsid w:val="00B20282"/>
    <w:rsid w:val="00B2099E"/>
    <w:rsid w:val="00B20DAF"/>
    <w:rsid w:val="00B214DB"/>
    <w:rsid w:val="00B218E6"/>
    <w:rsid w:val="00B22148"/>
    <w:rsid w:val="00B229D0"/>
    <w:rsid w:val="00B23A2E"/>
    <w:rsid w:val="00B23FB0"/>
    <w:rsid w:val="00B241F0"/>
    <w:rsid w:val="00B24E92"/>
    <w:rsid w:val="00B25ACD"/>
    <w:rsid w:val="00B25D99"/>
    <w:rsid w:val="00B2666B"/>
    <w:rsid w:val="00B26E37"/>
    <w:rsid w:val="00B27B03"/>
    <w:rsid w:val="00B27FD1"/>
    <w:rsid w:val="00B3012C"/>
    <w:rsid w:val="00B3020A"/>
    <w:rsid w:val="00B30508"/>
    <w:rsid w:val="00B30E76"/>
    <w:rsid w:val="00B31024"/>
    <w:rsid w:val="00B3144D"/>
    <w:rsid w:val="00B3155B"/>
    <w:rsid w:val="00B31A91"/>
    <w:rsid w:val="00B320DF"/>
    <w:rsid w:val="00B3283D"/>
    <w:rsid w:val="00B3348F"/>
    <w:rsid w:val="00B336BC"/>
    <w:rsid w:val="00B3448D"/>
    <w:rsid w:val="00B35501"/>
    <w:rsid w:val="00B35EE2"/>
    <w:rsid w:val="00B365D5"/>
    <w:rsid w:val="00B36687"/>
    <w:rsid w:val="00B36D7E"/>
    <w:rsid w:val="00B37044"/>
    <w:rsid w:val="00B37435"/>
    <w:rsid w:val="00B37841"/>
    <w:rsid w:val="00B37AEE"/>
    <w:rsid w:val="00B37E0C"/>
    <w:rsid w:val="00B40F68"/>
    <w:rsid w:val="00B417A7"/>
    <w:rsid w:val="00B422E2"/>
    <w:rsid w:val="00B42EE0"/>
    <w:rsid w:val="00B4315A"/>
    <w:rsid w:val="00B439AB"/>
    <w:rsid w:val="00B43E7D"/>
    <w:rsid w:val="00B44065"/>
    <w:rsid w:val="00B45281"/>
    <w:rsid w:val="00B45EF8"/>
    <w:rsid w:val="00B464AF"/>
    <w:rsid w:val="00B46581"/>
    <w:rsid w:val="00B465AF"/>
    <w:rsid w:val="00B46975"/>
    <w:rsid w:val="00B46BB6"/>
    <w:rsid w:val="00B46C7F"/>
    <w:rsid w:val="00B46E4E"/>
    <w:rsid w:val="00B50995"/>
    <w:rsid w:val="00B51072"/>
    <w:rsid w:val="00B51328"/>
    <w:rsid w:val="00B516FC"/>
    <w:rsid w:val="00B518BD"/>
    <w:rsid w:val="00B519DA"/>
    <w:rsid w:val="00B51DF3"/>
    <w:rsid w:val="00B5220F"/>
    <w:rsid w:val="00B5273B"/>
    <w:rsid w:val="00B52CBE"/>
    <w:rsid w:val="00B549BA"/>
    <w:rsid w:val="00B54D2D"/>
    <w:rsid w:val="00B563ED"/>
    <w:rsid w:val="00B5643A"/>
    <w:rsid w:val="00B56580"/>
    <w:rsid w:val="00B56F0F"/>
    <w:rsid w:val="00B573F5"/>
    <w:rsid w:val="00B57573"/>
    <w:rsid w:val="00B5789C"/>
    <w:rsid w:val="00B57AD3"/>
    <w:rsid w:val="00B606F0"/>
    <w:rsid w:val="00B615AD"/>
    <w:rsid w:val="00B62855"/>
    <w:rsid w:val="00B62B92"/>
    <w:rsid w:val="00B63A41"/>
    <w:rsid w:val="00B63FDC"/>
    <w:rsid w:val="00B64152"/>
    <w:rsid w:val="00B64D02"/>
    <w:rsid w:val="00B64F46"/>
    <w:rsid w:val="00B64F97"/>
    <w:rsid w:val="00B652E1"/>
    <w:rsid w:val="00B653FB"/>
    <w:rsid w:val="00B6584C"/>
    <w:rsid w:val="00B65916"/>
    <w:rsid w:val="00B65FAA"/>
    <w:rsid w:val="00B66516"/>
    <w:rsid w:val="00B665B3"/>
    <w:rsid w:val="00B666C3"/>
    <w:rsid w:val="00B668D5"/>
    <w:rsid w:val="00B66B81"/>
    <w:rsid w:val="00B66D65"/>
    <w:rsid w:val="00B66DB3"/>
    <w:rsid w:val="00B66F28"/>
    <w:rsid w:val="00B67C4E"/>
    <w:rsid w:val="00B67E37"/>
    <w:rsid w:val="00B67F8B"/>
    <w:rsid w:val="00B701B5"/>
    <w:rsid w:val="00B7048E"/>
    <w:rsid w:val="00B70874"/>
    <w:rsid w:val="00B71E3B"/>
    <w:rsid w:val="00B7202B"/>
    <w:rsid w:val="00B721AD"/>
    <w:rsid w:val="00B726E2"/>
    <w:rsid w:val="00B72ED1"/>
    <w:rsid w:val="00B73293"/>
    <w:rsid w:val="00B73366"/>
    <w:rsid w:val="00B73C3C"/>
    <w:rsid w:val="00B741BA"/>
    <w:rsid w:val="00B745B2"/>
    <w:rsid w:val="00B74B3F"/>
    <w:rsid w:val="00B75032"/>
    <w:rsid w:val="00B76483"/>
    <w:rsid w:val="00B767BD"/>
    <w:rsid w:val="00B76D7F"/>
    <w:rsid w:val="00B77E47"/>
    <w:rsid w:val="00B807F5"/>
    <w:rsid w:val="00B80F89"/>
    <w:rsid w:val="00B815F0"/>
    <w:rsid w:val="00B81AB4"/>
    <w:rsid w:val="00B81EFB"/>
    <w:rsid w:val="00B82096"/>
    <w:rsid w:val="00B82229"/>
    <w:rsid w:val="00B829A9"/>
    <w:rsid w:val="00B82CE0"/>
    <w:rsid w:val="00B82DD3"/>
    <w:rsid w:val="00B83D87"/>
    <w:rsid w:val="00B83E47"/>
    <w:rsid w:val="00B84BB3"/>
    <w:rsid w:val="00B84FF1"/>
    <w:rsid w:val="00B853D5"/>
    <w:rsid w:val="00B855D3"/>
    <w:rsid w:val="00B85646"/>
    <w:rsid w:val="00B85A05"/>
    <w:rsid w:val="00B865F2"/>
    <w:rsid w:val="00B87CCF"/>
    <w:rsid w:val="00B87E20"/>
    <w:rsid w:val="00B902E4"/>
    <w:rsid w:val="00B905C8"/>
    <w:rsid w:val="00B90C42"/>
    <w:rsid w:val="00B912BF"/>
    <w:rsid w:val="00B935C2"/>
    <w:rsid w:val="00B9378D"/>
    <w:rsid w:val="00B93C95"/>
    <w:rsid w:val="00B94DC1"/>
    <w:rsid w:val="00B9502A"/>
    <w:rsid w:val="00B950EF"/>
    <w:rsid w:val="00B95174"/>
    <w:rsid w:val="00B95495"/>
    <w:rsid w:val="00B95709"/>
    <w:rsid w:val="00B95D5C"/>
    <w:rsid w:val="00B96CDE"/>
    <w:rsid w:val="00BA056E"/>
    <w:rsid w:val="00BA0901"/>
    <w:rsid w:val="00BA098D"/>
    <w:rsid w:val="00BA0A18"/>
    <w:rsid w:val="00BA10CD"/>
    <w:rsid w:val="00BA116D"/>
    <w:rsid w:val="00BA130A"/>
    <w:rsid w:val="00BA173D"/>
    <w:rsid w:val="00BA2FAA"/>
    <w:rsid w:val="00BA3C96"/>
    <w:rsid w:val="00BA4B37"/>
    <w:rsid w:val="00BA4B82"/>
    <w:rsid w:val="00BA4C3D"/>
    <w:rsid w:val="00BA4CFE"/>
    <w:rsid w:val="00BA51E5"/>
    <w:rsid w:val="00BA5AD3"/>
    <w:rsid w:val="00BA6426"/>
    <w:rsid w:val="00BA6C82"/>
    <w:rsid w:val="00BA6E4C"/>
    <w:rsid w:val="00BA6EA2"/>
    <w:rsid w:val="00BA71C4"/>
    <w:rsid w:val="00BA781B"/>
    <w:rsid w:val="00BA78B4"/>
    <w:rsid w:val="00BA7A42"/>
    <w:rsid w:val="00BB0C55"/>
    <w:rsid w:val="00BB0FAE"/>
    <w:rsid w:val="00BB11B5"/>
    <w:rsid w:val="00BB13C5"/>
    <w:rsid w:val="00BB1475"/>
    <w:rsid w:val="00BB1A66"/>
    <w:rsid w:val="00BB1ADC"/>
    <w:rsid w:val="00BB321F"/>
    <w:rsid w:val="00BB429E"/>
    <w:rsid w:val="00BB4329"/>
    <w:rsid w:val="00BB4358"/>
    <w:rsid w:val="00BB4520"/>
    <w:rsid w:val="00BB4C93"/>
    <w:rsid w:val="00BB571B"/>
    <w:rsid w:val="00BB59A1"/>
    <w:rsid w:val="00BB5AE4"/>
    <w:rsid w:val="00BB6698"/>
    <w:rsid w:val="00BB6896"/>
    <w:rsid w:val="00BB6BBE"/>
    <w:rsid w:val="00BB7A7B"/>
    <w:rsid w:val="00BB7E42"/>
    <w:rsid w:val="00BC00CB"/>
    <w:rsid w:val="00BC05E6"/>
    <w:rsid w:val="00BC0A62"/>
    <w:rsid w:val="00BC1498"/>
    <w:rsid w:val="00BC1563"/>
    <w:rsid w:val="00BC1693"/>
    <w:rsid w:val="00BC1E86"/>
    <w:rsid w:val="00BC1EA8"/>
    <w:rsid w:val="00BC23EB"/>
    <w:rsid w:val="00BC2B00"/>
    <w:rsid w:val="00BC3241"/>
    <w:rsid w:val="00BC3CDC"/>
    <w:rsid w:val="00BC4984"/>
    <w:rsid w:val="00BC4D35"/>
    <w:rsid w:val="00BC4F80"/>
    <w:rsid w:val="00BC5C28"/>
    <w:rsid w:val="00BC60B3"/>
    <w:rsid w:val="00BC6272"/>
    <w:rsid w:val="00BC635A"/>
    <w:rsid w:val="00BC653F"/>
    <w:rsid w:val="00BC6FB7"/>
    <w:rsid w:val="00BC747C"/>
    <w:rsid w:val="00BC76FF"/>
    <w:rsid w:val="00BC7E1D"/>
    <w:rsid w:val="00BD0632"/>
    <w:rsid w:val="00BD09C6"/>
    <w:rsid w:val="00BD0B24"/>
    <w:rsid w:val="00BD0F0B"/>
    <w:rsid w:val="00BD1214"/>
    <w:rsid w:val="00BD13F2"/>
    <w:rsid w:val="00BD1764"/>
    <w:rsid w:val="00BD1D29"/>
    <w:rsid w:val="00BD30A9"/>
    <w:rsid w:val="00BD3755"/>
    <w:rsid w:val="00BD3F89"/>
    <w:rsid w:val="00BD45BA"/>
    <w:rsid w:val="00BD46D7"/>
    <w:rsid w:val="00BD4E7F"/>
    <w:rsid w:val="00BD5A29"/>
    <w:rsid w:val="00BD6439"/>
    <w:rsid w:val="00BD64F1"/>
    <w:rsid w:val="00BD73A4"/>
    <w:rsid w:val="00BD7AD9"/>
    <w:rsid w:val="00BD7DA6"/>
    <w:rsid w:val="00BE0011"/>
    <w:rsid w:val="00BE1267"/>
    <w:rsid w:val="00BE290E"/>
    <w:rsid w:val="00BE2CD9"/>
    <w:rsid w:val="00BE2E29"/>
    <w:rsid w:val="00BE3A25"/>
    <w:rsid w:val="00BE3A99"/>
    <w:rsid w:val="00BE487A"/>
    <w:rsid w:val="00BE4A89"/>
    <w:rsid w:val="00BE4E55"/>
    <w:rsid w:val="00BE4F51"/>
    <w:rsid w:val="00BE5205"/>
    <w:rsid w:val="00BE592C"/>
    <w:rsid w:val="00BE5B4B"/>
    <w:rsid w:val="00BE5EA9"/>
    <w:rsid w:val="00BE6B32"/>
    <w:rsid w:val="00BE6E23"/>
    <w:rsid w:val="00BE6F95"/>
    <w:rsid w:val="00BF0023"/>
    <w:rsid w:val="00BF04E3"/>
    <w:rsid w:val="00BF0A46"/>
    <w:rsid w:val="00BF1727"/>
    <w:rsid w:val="00BF1E2E"/>
    <w:rsid w:val="00BF1EE9"/>
    <w:rsid w:val="00BF22A1"/>
    <w:rsid w:val="00BF2C26"/>
    <w:rsid w:val="00BF2ED5"/>
    <w:rsid w:val="00BF349F"/>
    <w:rsid w:val="00BF34EF"/>
    <w:rsid w:val="00BF37E0"/>
    <w:rsid w:val="00BF389D"/>
    <w:rsid w:val="00BF391D"/>
    <w:rsid w:val="00BF3BD5"/>
    <w:rsid w:val="00BF3DF1"/>
    <w:rsid w:val="00BF4209"/>
    <w:rsid w:val="00BF43F0"/>
    <w:rsid w:val="00BF44C5"/>
    <w:rsid w:val="00BF4922"/>
    <w:rsid w:val="00BF50D8"/>
    <w:rsid w:val="00BF5256"/>
    <w:rsid w:val="00BF5484"/>
    <w:rsid w:val="00BF684E"/>
    <w:rsid w:val="00BF6F6B"/>
    <w:rsid w:val="00C000E2"/>
    <w:rsid w:val="00C002BC"/>
    <w:rsid w:val="00C00AAA"/>
    <w:rsid w:val="00C00D93"/>
    <w:rsid w:val="00C0205F"/>
    <w:rsid w:val="00C020D3"/>
    <w:rsid w:val="00C02E37"/>
    <w:rsid w:val="00C03116"/>
    <w:rsid w:val="00C033AC"/>
    <w:rsid w:val="00C0415F"/>
    <w:rsid w:val="00C0776B"/>
    <w:rsid w:val="00C07859"/>
    <w:rsid w:val="00C07BF6"/>
    <w:rsid w:val="00C10382"/>
    <w:rsid w:val="00C107A4"/>
    <w:rsid w:val="00C107FA"/>
    <w:rsid w:val="00C10C42"/>
    <w:rsid w:val="00C10E53"/>
    <w:rsid w:val="00C11331"/>
    <w:rsid w:val="00C11C6A"/>
    <w:rsid w:val="00C11CAD"/>
    <w:rsid w:val="00C12482"/>
    <w:rsid w:val="00C13CB9"/>
    <w:rsid w:val="00C13E0F"/>
    <w:rsid w:val="00C146E0"/>
    <w:rsid w:val="00C14EF3"/>
    <w:rsid w:val="00C15023"/>
    <w:rsid w:val="00C1515A"/>
    <w:rsid w:val="00C15801"/>
    <w:rsid w:val="00C15B18"/>
    <w:rsid w:val="00C15C31"/>
    <w:rsid w:val="00C15F53"/>
    <w:rsid w:val="00C1662C"/>
    <w:rsid w:val="00C1728D"/>
    <w:rsid w:val="00C17340"/>
    <w:rsid w:val="00C17450"/>
    <w:rsid w:val="00C1794B"/>
    <w:rsid w:val="00C2000A"/>
    <w:rsid w:val="00C2075A"/>
    <w:rsid w:val="00C20B52"/>
    <w:rsid w:val="00C20C38"/>
    <w:rsid w:val="00C20C7D"/>
    <w:rsid w:val="00C2246A"/>
    <w:rsid w:val="00C224B9"/>
    <w:rsid w:val="00C22B45"/>
    <w:rsid w:val="00C22FB1"/>
    <w:rsid w:val="00C23537"/>
    <w:rsid w:val="00C23CC5"/>
    <w:rsid w:val="00C23D66"/>
    <w:rsid w:val="00C24466"/>
    <w:rsid w:val="00C246A7"/>
    <w:rsid w:val="00C24E0D"/>
    <w:rsid w:val="00C24ECA"/>
    <w:rsid w:val="00C2542A"/>
    <w:rsid w:val="00C25C0F"/>
    <w:rsid w:val="00C2627E"/>
    <w:rsid w:val="00C26975"/>
    <w:rsid w:val="00C26CC2"/>
    <w:rsid w:val="00C274E1"/>
    <w:rsid w:val="00C27F74"/>
    <w:rsid w:val="00C3010F"/>
    <w:rsid w:val="00C30753"/>
    <w:rsid w:val="00C30823"/>
    <w:rsid w:val="00C30891"/>
    <w:rsid w:val="00C312FE"/>
    <w:rsid w:val="00C318B1"/>
    <w:rsid w:val="00C32338"/>
    <w:rsid w:val="00C32934"/>
    <w:rsid w:val="00C32B58"/>
    <w:rsid w:val="00C33080"/>
    <w:rsid w:val="00C344EF"/>
    <w:rsid w:val="00C34C3F"/>
    <w:rsid w:val="00C35713"/>
    <w:rsid w:val="00C364C7"/>
    <w:rsid w:val="00C36500"/>
    <w:rsid w:val="00C36D84"/>
    <w:rsid w:val="00C37587"/>
    <w:rsid w:val="00C4019E"/>
    <w:rsid w:val="00C40331"/>
    <w:rsid w:val="00C40A94"/>
    <w:rsid w:val="00C40BCC"/>
    <w:rsid w:val="00C41237"/>
    <w:rsid w:val="00C426F4"/>
    <w:rsid w:val="00C43075"/>
    <w:rsid w:val="00C4357D"/>
    <w:rsid w:val="00C43AEA"/>
    <w:rsid w:val="00C43E4F"/>
    <w:rsid w:val="00C43EFA"/>
    <w:rsid w:val="00C43F52"/>
    <w:rsid w:val="00C443F2"/>
    <w:rsid w:val="00C44A68"/>
    <w:rsid w:val="00C44B77"/>
    <w:rsid w:val="00C44CB5"/>
    <w:rsid w:val="00C45439"/>
    <w:rsid w:val="00C45A5F"/>
    <w:rsid w:val="00C45AB0"/>
    <w:rsid w:val="00C4605D"/>
    <w:rsid w:val="00C4637B"/>
    <w:rsid w:val="00C46617"/>
    <w:rsid w:val="00C46F92"/>
    <w:rsid w:val="00C47909"/>
    <w:rsid w:val="00C5094F"/>
    <w:rsid w:val="00C50D4A"/>
    <w:rsid w:val="00C50F5A"/>
    <w:rsid w:val="00C514AC"/>
    <w:rsid w:val="00C51CDA"/>
    <w:rsid w:val="00C51D1E"/>
    <w:rsid w:val="00C52CBF"/>
    <w:rsid w:val="00C53AA8"/>
    <w:rsid w:val="00C53D53"/>
    <w:rsid w:val="00C543DB"/>
    <w:rsid w:val="00C550E5"/>
    <w:rsid w:val="00C55958"/>
    <w:rsid w:val="00C5638B"/>
    <w:rsid w:val="00C565BE"/>
    <w:rsid w:val="00C56821"/>
    <w:rsid w:val="00C5685E"/>
    <w:rsid w:val="00C56A06"/>
    <w:rsid w:val="00C56B21"/>
    <w:rsid w:val="00C56B82"/>
    <w:rsid w:val="00C57B8C"/>
    <w:rsid w:val="00C57D09"/>
    <w:rsid w:val="00C60061"/>
    <w:rsid w:val="00C60765"/>
    <w:rsid w:val="00C6077C"/>
    <w:rsid w:val="00C60D90"/>
    <w:rsid w:val="00C610D9"/>
    <w:rsid w:val="00C6191C"/>
    <w:rsid w:val="00C61CDF"/>
    <w:rsid w:val="00C62328"/>
    <w:rsid w:val="00C62727"/>
    <w:rsid w:val="00C62870"/>
    <w:rsid w:val="00C62B68"/>
    <w:rsid w:val="00C62D5A"/>
    <w:rsid w:val="00C630E6"/>
    <w:rsid w:val="00C6361C"/>
    <w:rsid w:val="00C63C37"/>
    <w:rsid w:val="00C63C92"/>
    <w:rsid w:val="00C63EC9"/>
    <w:rsid w:val="00C643C1"/>
    <w:rsid w:val="00C64931"/>
    <w:rsid w:val="00C658C9"/>
    <w:rsid w:val="00C66BA4"/>
    <w:rsid w:val="00C66C66"/>
    <w:rsid w:val="00C675B3"/>
    <w:rsid w:val="00C70236"/>
    <w:rsid w:val="00C70726"/>
    <w:rsid w:val="00C7084A"/>
    <w:rsid w:val="00C7186A"/>
    <w:rsid w:val="00C739D7"/>
    <w:rsid w:val="00C746AE"/>
    <w:rsid w:val="00C759B4"/>
    <w:rsid w:val="00C75CD9"/>
    <w:rsid w:val="00C7689D"/>
    <w:rsid w:val="00C769B5"/>
    <w:rsid w:val="00C76C44"/>
    <w:rsid w:val="00C773BD"/>
    <w:rsid w:val="00C77A87"/>
    <w:rsid w:val="00C80219"/>
    <w:rsid w:val="00C8044B"/>
    <w:rsid w:val="00C80DA0"/>
    <w:rsid w:val="00C812F2"/>
    <w:rsid w:val="00C81553"/>
    <w:rsid w:val="00C81649"/>
    <w:rsid w:val="00C817EF"/>
    <w:rsid w:val="00C8251D"/>
    <w:rsid w:val="00C82781"/>
    <w:rsid w:val="00C82991"/>
    <w:rsid w:val="00C82A49"/>
    <w:rsid w:val="00C83348"/>
    <w:rsid w:val="00C83751"/>
    <w:rsid w:val="00C837E7"/>
    <w:rsid w:val="00C83E73"/>
    <w:rsid w:val="00C84C04"/>
    <w:rsid w:val="00C84E4B"/>
    <w:rsid w:val="00C85AC1"/>
    <w:rsid w:val="00C85C4B"/>
    <w:rsid w:val="00C85D9A"/>
    <w:rsid w:val="00C86CF5"/>
    <w:rsid w:val="00C86CFC"/>
    <w:rsid w:val="00C8732F"/>
    <w:rsid w:val="00C8752D"/>
    <w:rsid w:val="00C87CAE"/>
    <w:rsid w:val="00C9159B"/>
    <w:rsid w:val="00C919C0"/>
    <w:rsid w:val="00C91F12"/>
    <w:rsid w:val="00C92CD0"/>
    <w:rsid w:val="00C93F2B"/>
    <w:rsid w:val="00C95A12"/>
    <w:rsid w:val="00C95DD2"/>
    <w:rsid w:val="00C95EF1"/>
    <w:rsid w:val="00C96323"/>
    <w:rsid w:val="00C96A51"/>
    <w:rsid w:val="00C977BD"/>
    <w:rsid w:val="00CA0BB4"/>
    <w:rsid w:val="00CA222B"/>
    <w:rsid w:val="00CA2455"/>
    <w:rsid w:val="00CA25C5"/>
    <w:rsid w:val="00CA26FC"/>
    <w:rsid w:val="00CA2728"/>
    <w:rsid w:val="00CA2BEE"/>
    <w:rsid w:val="00CA2D61"/>
    <w:rsid w:val="00CA335B"/>
    <w:rsid w:val="00CA3D42"/>
    <w:rsid w:val="00CA425D"/>
    <w:rsid w:val="00CA45F0"/>
    <w:rsid w:val="00CA4B65"/>
    <w:rsid w:val="00CA5044"/>
    <w:rsid w:val="00CA5FD3"/>
    <w:rsid w:val="00CA6CAD"/>
    <w:rsid w:val="00CA6DFB"/>
    <w:rsid w:val="00CA7063"/>
    <w:rsid w:val="00CA7DB3"/>
    <w:rsid w:val="00CB07C7"/>
    <w:rsid w:val="00CB08BC"/>
    <w:rsid w:val="00CB1EB1"/>
    <w:rsid w:val="00CB295A"/>
    <w:rsid w:val="00CB31F5"/>
    <w:rsid w:val="00CB37DF"/>
    <w:rsid w:val="00CB387E"/>
    <w:rsid w:val="00CB4BA5"/>
    <w:rsid w:val="00CB5B39"/>
    <w:rsid w:val="00CB5DEC"/>
    <w:rsid w:val="00CB7554"/>
    <w:rsid w:val="00CC0133"/>
    <w:rsid w:val="00CC09F0"/>
    <w:rsid w:val="00CC14C7"/>
    <w:rsid w:val="00CC1E70"/>
    <w:rsid w:val="00CC246F"/>
    <w:rsid w:val="00CC26FF"/>
    <w:rsid w:val="00CC2910"/>
    <w:rsid w:val="00CC32D7"/>
    <w:rsid w:val="00CC3E05"/>
    <w:rsid w:val="00CC5357"/>
    <w:rsid w:val="00CC65F8"/>
    <w:rsid w:val="00CC6A19"/>
    <w:rsid w:val="00CC6C9D"/>
    <w:rsid w:val="00CC6ED9"/>
    <w:rsid w:val="00CC7E7C"/>
    <w:rsid w:val="00CD0CC0"/>
    <w:rsid w:val="00CD10E0"/>
    <w:rsid w:val="00CD10E3"/>
    <w:rsid w:val="00CD154C"/>
    <w:rsid w:val="00CD19BA"/>
    <w:rsid w:val="00CD22B8"/>
    <w:rsid w:val="00CD3B59"/>
    <w:rsid w:val="00CD3B5C"/>
    <w:rsid w:val="00CD402B"/>
    <w:rsid w:val="00CD43EC"/>
    <w:rsid w:val="00CD61F1"/>
    <w:rsid w:val="00CD631D"/>
    <w:rsid w:val="00CD6BC5"/>
    <w:rsid w:val="00CD6DB7"/>
    <w:rsid w:val="00CD71E2"/>
    <w:rsid w:val="00CD7488"/>
    <w:rsid w:val="00CD7BFF"/>
    <w:rsid w:val="00CE0A9B"/>
    <w:rsid w:val="00CE2E47"/>
    <w:rsid w:val="00CE2E7F"/>
    <w:rsid w:val="00CE2F1D"/>
    <w:rsid w:val="00CE3830"/>
    <w:rsid w:val="00CE3B4C"/>
    <w:rsid w:val="00CE3E1E"/>
    <w:rsid w:val="00CE3EEB"/>
    <w:rsid w:val="00CE422E"/>
    <w:rsid w:val="00CE4267"/>
    <w:rsid w:val="00CE45C0"/>
    <w:rsid w:val="00CE4AFC"/>
    <w:rsid w:val="00CE4F4C"/>
    <w:rsid w:val="00CE5C4C"/>
    <w:rsid w:val="00CE600A"/>
    <w:rsid w:val="00CE618D"/>
    <w:rsid w:val="00CE633F"/>
    <w:rsid w:val="00CE6711"/>
    <w:rsid w:val="00CE6CDE"/>
    <w:rsid w:val="00CE6FAD"/>
    <w:rsid w:val="00CF0A89"/>
    <w:rsid w:val="00CF0B67"/>
    <w:rsid w:val="00CF115B"/>
    <w:rsid w:val="00CF1248"/>
    <w:rsid w:val="00CF1415"/>
    <w:rsid w:val="00CF17E7"/>
    <w:rsid w:val="00CF1C44"/>
    <w:rsid w:val="00CF1FFC"/>
    <w:rsid w:val="00CF205D"/>
    <w:rsid w:val="00CF35B3"/>
    <w:rsid w:val="00CF37F7"/>
    <w:rsid w:val="00CF3A9C"/>
    <w:rsid w:val="00CF3D1C"/>
    <w:rsid w:val="00CF41B5"/>
    <w:rsid w:val="00CF431D"/>
    <w:rsid w:val="00CF4E76"/>
    <w:rsid w:val="00CF54BE"/>
    <w:rsid w:val="00CF5923"/>
    <w:rsid w:val="00CF7309"/>
    <w:rsid w:val="00CF760A"/>
    <w:rsid w:val="00D001B0"/>
    <w:rsid w:val="00D006CE"/>
    <w:rsid w:val="00D0076C"/>
    <w:rsid w:val="00D00DEB"/>
    <w:rsid w:val="00D01D97"/>
    <w:rsid w:val="00D02101"/>
    <w:rsid w:val="00D022C5"/>
    <w:rsid w:val="00D02882"/>
    <w:rsid w:val="00D02F0B"/>
    <w:rsid w:val="00D0326E"/>
    <w:rsid w:val="00D03AB0"/>
    <w:rsid w:val="00D04BA2"/>
    <w:rsid w:val="00D04EA2"/>
    <w:rsid w:val="00D0524E"/>
    <w:rsid w:val="00D06D88"/>
    <w:rsid w:val="00D06FD0"/>
    <w:rsid w:val="00D0736B"/>
    <w:rsid w:val="00D0772A"/>
    <w:rsid w:val="00D07B74"/>
    <w:rsid w:val="00D07BFF"/>
    <w:rsid w:val="00D10385"/>
    <w:rsid w:val="00D108D2"/>
    <w:rsid w:val="00D1183F"/>
    <w:rsid w:val="00D11A25"/>
    <w:rsid w:val="00D11B44"/>
    <w:rsid w:val="00D12A3F"/>
    <w:rsid w:val="00D13128"/>
    <w:rsid w:val="00D1459B"/>
    <w:rsid w:val="00D14878"/>
    <w:rsid w:val="00D15416"/>
    <w:rsid w:val="00D15578"/>
    <w:rsid w:val="00D15D33"/>
    <w:rsid w:val="00D15DDA"/>
    <w:rsid w:val="00D15F08"/>
    <w:rsid w:val="00D16548"/>
    <w:rsid w:val="00D166F3"/>
    <w:rsid w:val="00D16836"/>
    <w:rsid w:val="00D16BBC"/>
    <w:rsid w:val="00D20B99"/>
    <w:rsid w:val="00D20EFA"/>
    <w:rsid w:val="00D212FA"/>
    <w:rsid w:val="00D219EE"/>
    <w:rsid w:val="00D21C2D"/>
    <w:rsid w:val="00D21E90"/>
    <w:rsid w:val="00D21FAF"/>
    <w:rsid w:val="00D22932"/>
    <w:rsid w:val="00D22E1E"/>
    <w:rsid w:val="00D22EB5"/>
    <w:rsid w:val="00D232C7"/>
    <w:rsid w:val="00D239AC"/>
    <w:rsid w:val="00D23FBC"/>
    <w:rsid w:val="00D24A0D"/>
    <w:rsid w:val="00D24B29"/>
    <w:rsid w:val="00D25E34"/>
    <w:rsid w:val="00D26EAF"/>
    <w:rsid w:val="00D27EC9"/>
    <w:rsid w:val="00D31343"/>
    <w:rsid w:val="00D31580"/>
    <w:rsid w:val="00D31F92"/>
    <w:rsid w:val="00D325FA"/>
    <w:rsid w:val="00D33E6D"/>
    <w:rsid w:val="00D3429A"/>
    <w:rsid w:val="00D34374"/>
    <w:rsid w:val="00D34B65"/>
    <w:rsid w:val="00D34FF7"/>
    <w:rsid w:val="00D35911"/>
    <w:rsid w:val="00D35A3C"/>
    <w:rsid w:val="00D363BE"/>
    <w:rsid w:val="00D367D4"/>
    <w:rsid w:val="00D3703D"/>
    <w:rsid w:val="00D37238"/>
    <w:rsid w:val="00D37D56"/>
    <w:rsid w:val="00D37DA4"/>
    <w:rsid w:val="00D40163"/>
    <w:rsid w:val="00D4099A"/>
    <w:rsid w:val="00D409E1"/>
    <w:rsid w:val="00D40AC8"/>
    <w:rsid w:val="00D4113F"/>
    <w:rsid w:val="00D4145E"/>
    <w:rsid w:val="00D41844"/>
    <w:rsid w:val="00D41AA1"/>
    <w:rsid w:val="00D41FCD"/>
    <w:rsid w:val="00D42525"/>
    <w:rsid w:val="00D42812"/>
    <w:rsid w:val="00D43273"/>
    <w:rsid w:val="00D4346A"/>
    <w:rsid w:val="00D4365B"/>
    <w:rsid w:val="00D43919"/>
    <w:rsid w:val="00D43A70"/>
    <w:rsid w:val="00D43BD5"/>
    <w:rsid w:val="00D43CF4"/>
    <w:rsid w:val="00D443B7"/>
    <w:rsid w:val="00D44556"/>
    <w:rsid w:val="00D46146"/>
    <w:rsid w:val="00D46338"/>
    <w:rsid w:val="00D466CB"/>
    <w:rsid w:val="00D47DD1"/>
    <w:rsid w:val="00D50CFD"/>
    <w:rsid w:val="00D510DB"/>
    <w:rsid w:val="00D51502"/>
    <w:rsid w:val="00D51625"/>
    <w:rsid w:val="00D52118"/>
    <w:rsid w:val="00D5264E"/>
    <w:rsid w:val="00D52A73"/>
    <w:rsid w:val="00D54983"/>
    <w:rsid w:val="00D54996"/>
    <w:rsid w:val="00D55E63"/>
    <w:rsid w:val="00D5601D"/>
    <w:rsid w:val="00D5668A"/>
    <w:rsid w:val="00D56710"/>
    <w:rsid w:val="00D56763"/>
    <w:rsid w:val="00D5687D"/>
    <w:rsid w:val="00D56C60"/>
    <w:rsid w:val="00D56ED9"/>
    <w:rsid w:val="00D57414"/>
    <w:rsid w:val="00D601B0"/>
    <w:rsid w:val="00D6096E"/>
    <w:rsid w:val="00D615E1"/>
    <w:rsid w:val="00D619E7"/>
    <w:rsid w:val="00D61BC9"/>
    <w:rsid w:val="00D61CA6"/>
    <w:rsid w:val="00D63530"/>
    <w:rsid w:val="00D63716"/>
    <w:rsid w:val="00D63B4D"/>
    <w:rsid w:val="00D6475F"/>
    <w:rsid w:val="00D648D6"/>
    <w:rsid w:val="00D64911"/>
    <w:rsid w:val="00D64B61"/>
    <w:rsid w:val="00D64C6C"/>
    <w:rsid w:val="00D65213"/>
    <w:rsid w:val="00D659D7"/>
    <w:rsid w:val="00D65AEB"/>
    <w:rsid w:val="00D66A0D"/>
    <w:rsid w:val="00D66C5E"/>
    <w:rsid w:val="00D67AEF"/>
    <w:rsid w:val="00D67C73"/>
    <w:rsid w:val="00D71401"/>
    <w:rsid w:val="00D71456"/>
    <w:rsid w:val="00D71798"/>
    <w:rsid w:val="00D728FD"/>
    <w:rsid w:val="00D72B91"/>
    <w:rsid w:val="00D73537"/>
    <w:rsid w:val="00D73547"/>
    <w:rsid w:val="00D74A17"/>
    <w:rsid w:val="00D75211"/>
    <w:rsid w:val="00D75ABE"/>
    <w:rsid w:val="00D75BEC"/>
    <w:rsid w:val="00D75E45"/>
    <w:rsid w:val="00D76ED6"/>
    <w:rsid w:val="00D77493"/>
    <w:rsid w:val="00D779B3"/>
    <w:rsid w:val="00D77BEF"/>
    <w:rsid w:val="00D816D2"/>
    <w:rsid w:val="00D81B4A"/>
    <w:rsid w:val="00D81CE5"/>
    <w:rsid w:val="00D82F7B"/>
    <w:rsid w:val="00D83D60"/>
    <w:rsid w:val="00D83E80"/>
    <w:rsid w:val="00D84188"/>
    <w:rsid w:val="00D85598"/>
    <w:rsid w:val="00D85BD2"/>
    <w:rsid w:val="00D85EC3"/>
    <w:rsid w:val="00D85F9D"/>
    <w:rsid w:val="00D86031"/>
    <w:rsid w:val="00D8659F"/>
    <w:rsid w:val="00D87703"/>
    <w:rsid w:val="00D8782E"/>
    <w:rsid w:val="00D87929"/>
    <w:rsid w:val="00D87CB9"/>
    <w:rsid w:val="00D9050F"/>
    <w:rsid w:val="00D91960"/>
    <w:rsid w:val="00D91B0A"/>
    <w:rsid w:val="00D921F6"/>
    <w:rsid w:val="00D929D2"/>
    <w:rsid w:val="00D9324A"/>
    <w:rsid w:val="00D933E7"/>
    <w:rsid w:val="00D935B2"/>
    <w:rsid w:val="00D93C23"/>
    <w:rsid w:val="00D93FD0"/>
    <w:rsid w:val="00D94440"/>
    <w:rsid w:val="00D95296"/>
    <w:rsid w:val="00D95950"/>
    <w:rsid w:val="00D962B7"/>
    <w:rsid w:val="00D96661"/>
    <w:rsid w:val="00D96D1F"/>
    <w:rsid w:val="00D96DAC"/>
    <w:rsid w:val="00D97945"/>
    <w:rsid w:val="00D97B68"/>
    <w:rsid w:val="00DA0585"/>
    <w:rsid w:val="00DA09FD"/>
    <w:rsid w:val="00DA0F8D"/>
    <w:rsid w:val="00DA20E9"/>
    <w:rsid w:val="00DA2208"/>
    <w:rsid w:val="00DA23FD"/>
    <w:rsid w:val="00DA3037"/>
    <w:rsid w:val="00DA384B"/>
    <w:rsid w:val="00DA3FB9"/>
    <w:rsid w:val="00DA4515"/>
    <w:rsid w:val="00DA4A88"/>
    <w:rsid w:val="00DA4C3A"/>
    <w:rsid w:val="00DA4F87"/>
    <w:rsid w:val="00DA6AEE"/>
    <w:rsid w:val="00DA7911"/>
    <w:rsid w:val="00DA7D03"/>
    <w:rsid w:val="00DB02C6"/>
    <w:rsid w:val="00DB1916"/>
    <w:rsid w:val="00DB2033"/>
    <w:rsid w:val="00DB23A6"/>
    <w:rsid w:val="00DB26DC"/>
    <w:rsid w:val="00DB2D73"/>
    <w:rsid w:val="00DB304D"/>
    <w:rsid w:val="00DB31D7"/>
    <w:rsid w:val="00DB3EAE"/>
    <w:rsid w:val="00DB45E6"/>
    <w:rsid w:val="00DB4CBB"/>
    <w:rsid w:val="00DB5A74"/>
    <w:rsid w:val="00DB5AE6"/>
    <w:rsid w:val="00DB63FB"/>
    <w:rsid w:val="00DB6B61"/>
    <w:rsid w:val="00DB6BB4"/>
    <w:rsid w:val="00DB71AD"/>
    <w:rsid w:val="00DB71C7"/>
    <w:rsid w:val="00DC0B1D"/>
    <w:rsid w:val="00DC0FE4"/>
    <w:rsid w:val="00DC174C"/>
    <w:rsid w:val="00DC1EE1"/>
    <w:rsid w:val="00DC2431"/>
    <w:rsid w:val="00DC2E61"/>
    <w:rsid w:val="00DC32E7"/>
    <w:rsid w:val="00DC37C6"/>
    <w:rsid w:val="00DC430A"/>
    <w:rsid w:val="00DC4618"/>
    <w:rsid w:val="00DC47AD"/>
    <w:rsid w:val="00DC483F"/>
    <w:rsid w:val="00DC4AEE"/>
    <w:rsid w:val="00DC4EA4"/>
    <w:rsid w:val="00DC502F"/>
    <w:rsid w:val="00DC5172"/>
    <w:rsid w:val="00DC5943"/>
    <w:rsid w:val="00DC5F31"/>
    <w:rsid w:val="00DC6690"/>
    <w:rsid w:val="00DC695F"/>
    <w:rsid w:val="00DC6BDE"/>
    <w:rsid w:val="00DC7013"/>
    <w:rsid w:val="00DC70B3"/>
    <w:rsid w:val="00DC76BB"/>
    <w:rsid w:val="00DC76CF"/>
    <w:rsid w:val="00DC7A36"/>
    <w:rsid w:val="00DD0406"/>
    <w:rsid w:val="00DD044D"/>
    <w:rsid w:val="00DD0A0F"/>
    <w:rsid w:val="00DD18AF"/>
    <w:rsid w:val="00DD1E30"/>
    <w:rsid w:val="00DD1EDB"/>
    <w:rsid w:val="00DD1F8F"/>
    <w:rsid w:val="00DD23BC"/>
    <w:rsid w:val="00DD3C96"/>
    <w:rsid w:val="00DD3E80"/>
    <w:rsid w:val="00DD48A3"/>
    <w:rsid w:val="00DD558F"/>
    <w:rsid w:val="00DD5B16"/>
    <w:rsid w:val="00DD5ECD"/>
    <w:rsid w:val="00DD5ED9"/>
    <w:rsid w:val="00DD5EEC"/>
    <w:rsid w:val="00DD630B"/>
    <w:rsid w:val="00DD6B63"/>
    <w:rsid w:val="00DD714E"/>
    <w:rsid w:val="00DD72D4"/>
    <w:rsid w:val="00DD72FD"/>
    <w:rsid w:val="00DD78F5"/>
    <w:rsid w:val="00DD7D08"/>
    <w:rsid w:val="00DD7DE0"/>
    <w:rsid w:val="00DE05A8"/>
    <w:rsid w:val="00DE0993"/>
    <w:rsid w:val="00DE143E"/>
    <w:rsid w:val="00DE151E"/>
    <w:rsid w:val="00DE16D1"/>
    <w:rsid w:val="00DE1E2E"/>
    <w:rsid w:val="00DE1EC0"/>
    <w:rsid w:val="00DE1F8E"/>
    <w:rsid w:val="00DE2A9A"/>
    <w:rsid w:val="00DE3722"/>
    <w:rsid w:val="00DE3808"/>
    <w:rsid w:val="00DE3DCB"/>
    <w:rsid w:val="00DE3E39"/>
    <w:rsid w:val="00DE3F52"/>
    <w:rsid w:val="00DE43D9"/>
    <w:rsid w:val="00DE53D3"/>
    <w:rsid w:val="00DE56E6"/>
    <w:rsid w:val="00DE5722"/>
    <w:rsid w:val="00DE627F"/>
    <w:rsid w:val="00DE63AB"/>
    <w:rsid w:val="00DE6F6F"/>
    <w:rsid w:val="00DE7098"/>
    <w:rsid w:val="00DE7D01"/>
    <w:rsid w:val="00DE7F39"/>
    <w:rsid w:val="00DF2BA5"/>
    <w:rsid w:val="00DF2EC3"/>
    <w:rsid w:val="00DF31C8"/>
    <w:rsid w:val="00DF416B"/>
    <w:rsid w:val="00DF4209"/>
    <w:rsid w:val="00DF4BFF"/>
    <w:rsid w:val="00DF5131"/>
    <w:rsid w:val="00DF52DE"/>
    <w:rsid w:val="00DF53FC"/>
    <w:rsid w:val="00DF5575"/>
    <w:rsid w:val="00DF5594"/>
    <w:rsid w:val="00DF55B3"/>
    <w:rsid w:val="00DF584F"/>
    <w:rsid w:val="00DF6099"/>
    <w:rsid w:val="00DF6D1B"/>
    <w:rsid w:val="00DF6E21"/>
    <w:rsid w:val="00DF6F72"/>
    <w:rsid w:val="00DF76B0"/>
    <w:rsid w:val="00DF7735"/>
    <w:rsid w:val="00DF7C98"/>
    <w:rsid w:val="00E006CF"/>
    <w:rsid w:val="00E00F9C"/>
    <w:rsid w:val="00E0129D"/>
    <w:rsid w:val="00E016E6"/>
    <w:rsid w:val="00E021FD"/>
    <w:rsid w:val="00E03150"/>
    <w:rsid w:val="00E038CC"/>
    <w:rsid w:val="00E03AD2"/>
    <w:rsid w:val="00E041A7"/>
    <w:rsid w:val="00E0431B"/>
    <w:rsid w:val="00E0447B"/>
    <w:rsid w:val="00E044FF"/>
    <w:rsid w:val="00E05375"/>
    <w:rsid w:val="00E05724"/>
    <w:rsid w:val="00E057DC"/>
    <w:rsid w:val="00E05A21"/>
    <w:rsid w:val="00E05D5B"/>
    <w:rsid w:val="00E05E40"/>
    <w:rsid w:val="00E06ADC"/>
    <w:rsid w:val="00E0739D"/>
    <w:rsid w:val="00E104EC"/>
    <w:rsid w:val="00E1051F"/>
    <w:rsid w:val="00E105C3"/>
    <w:rsid w:val="00E10B3F"/>
    <w:rsid w:val="00E10E60"/>
    <w:rsid w:val="00E10F02"/>
    <w:rsid w:val="00E10F61"/>
    <w:rsid w:val="00E10F93"/>
    <w:rsid w:val="00E1194B"/>
    <w:rsid w:val="00E1247E"/>
    <w:rsid w:val="00E129B8"/>
    <w:rsid w:val="00E1302F"/>
    <w:rsid w:val="00E13238"/>
    <w:rsid w:val="00E13495"/>
    <w:rsid w:val="00E134C0"/>
    <w:rsid w:val="00E14201"/>
    <w:rsid w:val="00E145BB"/>
    <w:rsid w:val="00E14BAD"/>
    <w:rsid w:val="00E15479"/>
    <w:rsid w:val="00E154FD"/>
    <w:rsid w:val="00E155A8"/>
    <w:rsid w:val="00E15DA1"/>
    <w:rsid w:val="00E15F9A"/>
    <w:rsid w:val="00E16AD6"/>
    <w:rsid w:val="00E16E90"/>
    <w:rsid w:val="00E17264"/>
    <w:rsid w:val="00E17CFD"/>
    <w:rsid w:val="00E200BF"/>
    <w:rsid w:val="00E203F6"/>
    <w:rsid w:val="00E2042F"/>
    <w:rsid w:val="00E21203"/>
    <w:rsid w:val="00E227DB"/>
    <w:rsid w:val="00E22B4B"/>
    <w:rsid w:val="00E23562"/>
    <w:rsid w:val="00E238AA"/>
    <w:rsid w:val="00E23DFF"/>
    <w:rsid w:val="00E2423C"/>
    <w:rsid w:val="00E24AED"/>
    <w:rsid w:val="00E24CD8"/>
    <w:rsid w:val="00E24D87"/>
    <w:rsid w:val="00E25043"/>
    <w:rsid w:val="00E254D3"/>
    <w:rsid w:val="00E257A2"/>
    <w:rsid w:val="00E25C17"/>
    <w:rsid w:val="00E26BB5"/>
    <w:rsid w:val="00E2781B"/>
    <w:rsid w:val="00E27903"/>
    <w:rsid w:val="00E27AF8"/>
    <w:rsid w:val="00E310EC"/>
    <w:rsid w:val="00E31610"/>
    <w:rsid w:val="00E319BD"/>
    <w:rsid w:val="00E3250A"/>
    <w:rsid w:val="00E3264D"/>
    <w:rsid w:val="00E32781"/>
    <w:rsid w:val="00E328C1"/>
    <w:rsid w:val="00E34229"/>
    <w:rsid w:val="00E34C58"/>
    <w:rsid w:val="00E34D92"/>
    <w:rsid w:val="00E356FA"/>
    <w:rsid w:val="00E363E3"/>
    <w:rsid w:val="00E36F8E"/>
    <w:rsid w:val="00E3720E"/>
    <w:rsid w:val="00E37C83"/>
    <w:rsid w:val="00E4003A"/>
    <w:rsid w:val="00E4160C"/>
    <w:rsid w:val="00E4175F"/>
    <w:rsid w:val="00E41D94"/>
    <w:rsid w:val="00E4258C"/>
    <w:rsid w:val="00E42FF1"/>
    <w:rsid w:val="00E4349F"/>
    <w:rsid w:val="00E435EA"/>
    <w:rsid w:val="00E43F08"/>
    <w:rsid w:val="00E44AC5"/>
    <w:rsid w:val="00E4537B"/>
    <w:rsid w:val="00E45673"/>
    <w:rsid w:val="00E4589D"/>
    <w:rsid w:val="00E45FFC"/>
    <w:rsid w:val="00E47E24"/>
    <w:rsid w:val="00E504D0"/>
    <w:rsid w:val="00E509E4"/>
    <w:rsid w:val="00E510A8"/>
    <w:rsid w:val="00E510B2"/>
    <w:rsid w:val="00E511CB"/>
    <w:rsid w:val="00E516BC"/>
    <w:rsid w:val="00E517CD"/>
    <w:rsid w:val="00E52C52"/>
    <w:rsid w:val="00E52EEB"/>
    <w:rsid w:val="00E53886"/>
    <w:rsid w:val="00E53C5E"/>
    <w:rsid w:val="00E54492"/>
    <w:rsid w:val="00E54BB4"/>
    <w:rsid w:val="00E55800"/>
    <w:rsid w:val="00E5601A"/>
    <w:rsid w:val="00E56361"/>
    <w:rsid w:val="00E56C64"/>
    <w:rsid w:val="00E5744F"/>
    <w:rsid w:val="00E579E2"/>
    <w:rsid w:val="00E604DD"/>
    <w:rsid w:val="00E60556"/>
    <w:rsid w:val="00E608EA"/>
    <w:rsid w:val="00E61567"/>
    <w:rsid w:val="00E619CF"/>
    <w:rsid w:val="00E61E79"/>
    <w:rsid w:val="00E62D3C"/>
    <w:rsid w:val="00E62E67"/>
    <w:rsid w:val="00E632D2"/>
    <w:rsid w:val="00E632F5"/>
    <w:rsid w:val="00E6345D"/>
    <w:rsid w:val="00E63558"/>
    <w:rsid w:val="00E64BEE"/>
    <w:rsid w:val="00E6528B"/>
    <w:rsid w:val="00E656E5"/>
    <w:rsid w:val="00E65A4D"/>
    <w:rsid w:val="00E65AAB"/>
    <w:rsid w:val="00E67450"/>
    <w:rsid w:val="00E677E3"/>
    <w:rsid w:val="00E7030B"/>
    <w:rsid w:val="00E70E4E"/>
    <w:rsid w:val="00E71215"/>
    <w:rsid w:val="00E72B67"/>
    <w:rsid w:val="00E72B97"/>
    <w:rsid w:val="00E72DD2"/>
    <w:rsid w:val="00E73934"/>
    <w:rsid w:val="00E745E0"/>
    <w:rsid w:val="00E74878"/>
    <w:rsid w:val="00E75633"/>
    <w:rsid w:val="00E76665"/>
    <w:rsid w:val="00E7782D"/>
    <w:rsid w:val="00E779AB"/>
    <w:rsid w:val="00E77A37"/>
    <w:rsid w:val="00E77E9C"/>
    <w:rsid w:val="00E80469"/>
    <w:rsid w:val="00E8063E"/>
    <w:rsid w:val="00E8064F"/>
    <w:rsid w:val="00E8069B"/>
    <w:rsid w:val="00E80981"/>
    <w:rsid w:val="00E80A78"/>
    <w:rsid w:val="00E80CAC"/>
    <w:rsid w:val="00E81314"/>
    <w:rsid w:val="00E81F21"/>
    <w:rsid w:val="00E826AB"/>
    <w:rsid w:val="00E8283D"/>
    <w:rsid w:val="00E82D19"/>
    <w:rsid w:val="00E83742"/>
    <w:rsid w:val="00E83973"/>
    <w:rsid w:val="00E83E1E"/>
    <w:rsid w:val="00E83FB0"/>
    <w:rsid w:val="00E842AA"/>
    <w:rsid w:val="00E84C0A"/>
    <w:rsid w:val="00E84DC7"/>
    <w:rsid w:val="00E85C33"/>
    <w:rsid w:val="00E85E2B"/>
    <w:rsid w:val="00E861A7"/>
    <w:rsid w:val="00E86357"/>
    <w:rsid w:val="00E90AE0"/>
    <w:rsid w:val="00E90B08"/>
    <w:rsid w:val="00E90D3E"/>
    <w:rsid w:val="00E9159B"/>
    <w:rsid w:val="00E91708"/>
    <w:rsid w:val="00E93069"/>
    <w:rsid w:val="00E9306A"/>
    <w:rsid w:val="00E9346D"/>
    <w:rsid w:val="00E9349E"/>
    <w:rsid w:val="00E93501"/>
    <w:rsid w:val="00E94659"/>
    <w:rsid w:val="00E94E6A"/>
    <w:rsid w:val="00E95445"/>
    <w:rsid w:val="00E95F32"/>
    <w:rsid w:val="00E96099"/>
    <w:rsid w:val="00E966A8"/>
    <w:rsid w:val="00E96A46"/>
    <w:rsid w:val="00E9734E"/>
    <w:rsid w:val="00EA0020"/>
    <w:rsid w:val="00EA08E3"/>
    <w:rsid w:val="00EA172D"/>
    <w:rsid w:val="00EA18D1"/>
    <w:rsid w:val="00EA222C"/>
    <w:rsid w:val="00EA2676"/>
    <w:rsid w:val="00EA27D6"/>
    <w:rsid w:val="00EA2D37"/>
    <w:rsid w:val="00EA4AC1"/>
    <w:rsid w:val="00EA4D31"/>
    <w:rsid w:val="00EA4F7B"/>
    <w:rsid w:val="00EA6D56"/>
    <w:rsid w:val="00EA72B4"/>
    <w:rsid w:val="00EA7D4E"/>
    <w:rsid w:val="00EA7F87"/>
    <w:rsid w:val="00EB00D6"/>
    <w:rsid w:val="00EB0347"/>
    <w:rsid w:val="00EB0704"/>
    <w:rsid w:val="00EB146E"/>
    <w:rsid w:val="00EB14CB"/>
    <w:rsid w:val="00EB14CC"/>
    <w:rsid w:val="00EB1AC4"/>
    <w:rsid w:val="00EB2103"/>
    <w:rsid w:val="00EB2318"/>
    <w:rsid w:val="00EB2703"/>
    <w:rsid w:val="00EB27C8"/>
    <w:rsid w:val="00EB35A3"/>
    <w:rsid w:val="00EB38C9"/>
    <w:rsid w:val="00EB3B3B"/>
    <w:rsid w:val="00EB423E"/>
    <w:rsid w:val="00EB4783"/>
    <w:rsid w:val="00EB47ED"/>
    <w:rsid w:val="00EB4A06"/>
    <w:rsid w:val="00EB4D55"/>
    <w:rsid w:val="00EB4FBD"/>
    <w:rsid w:val="00EB532C"/>
    <w:rsid w:val="00EB5ACC"/>
    <w:rsid w:val="00EB61B3"/>
    <w:rsid w:val="00EB61E8"/>
    <w:rsid w:val="00EB652C"/>
    <w:rsid w:val="00EB6945"/>
    <w:rsid w:val="00EB69AF"/>
    <w:rsid w:val="00EB6AE8"/>
    <w:rsid w:val="00EB726B"/>
    <w:rsid w:val="00EB7342"/>
    <w:rsid w:val="00EC22D8"/>
    <w:rsid w:val="00EC3E6A"/>
    <w:rsid w:val="00EC3E7B"/>
    <w:rsid w:val="00EC45C0"/>
    <w:rsid w:val="00EC4F34"/>
    <w:rsid w:val="00EC4FB8"/>
    <w:rsid w:val="00EC626B"/>
    <w:rsid w:val="00EC6733"/>
    <w:rsid w:val="00EC6D8A"/>
    <w:rsid w:val="00EC70F3"/>
    <w:rsid w:val="00EC710F"/>
    <w:rsid w:val="00EC7B9F"/>
    <w:rsid w:val="00ED0742"/>
    <w:rsid w:val="00ED0931"/>
    <w:rsid w:val="00ED0E85"/>
    <w:rsid w:val="00ED1BC5"/>
    <w:rsid w:val="00ED2026"/>
    <w:rsid w:val="00ED21BF"/>
    <w:rsid w:val="00ED2D1F"/>
    <w:rsid w:val="00ED33A6"/>
    <w:rsid w:val="00ED341E"/>
    <w:rsid w:val="00ED3B06"/>
    <w:rsid w:val="00ED3DFE"/>
    <w:rsid w:val="00ED4636"/>
    <w:rsid w:val="00ED4926"/>
    <w:rsid w:val="00ED49AF"/>
    <w:rsid w:val="00ED49EF"/>
    <w:rsid w:val="00ED4E44"/>
    <w:rsid w:val="00ED4E99"/>
    <w:rsid w:val="00ED562B"/>
    <w:rsid w:val="00ED5A98"/>
    <w:rsid w:val="00ED5CA3"/>
    <w:rsid w:val="00ED5CE9"/>
    <w:rsid w:val="00ED5FA2"/>
    <w:rsid w:val="00ED6078"/>
    <w:rsid w:val="00ED65D4"/>
    <w:rsid w:val="00ED695A"/>
    <w:rsid w:val="00ED6E18"/>
    <w:rsid w:val="00ED7289"/>
    <w:rsid w:val="00ED73BF"/>
    <w:rsid w:val="00ED7988"/>
    <w:rsid w:val="00ED7BB8"/>
    <w:rsid w:val="00ED7F32"/>
    <w:rsid w:val="00EE01D9"/>
    <w:rsid w:val="00EE04D7"/>
    <w:rsid w:val="00EE15F2"/>
    <w:rsid w:val="00EE1696"/>
    <w:rsid w:val="00EE19CF"/>
    <w:rsid w:val="00EE1A2A"/>
    <w:rsid w:val="00EE23E0"/>
    <w:rsid w:val="00EE268D"/>
    <w:rsid w:val="00EE2759"/>
    <w:rsid w:val="00EE298B"/>
    <w:rsid w:val="00EE2C1B"/>
    <w:rsid w:val="00EE2DCD"/>
    <w:rsid w:val="00EE2F5C"/>
    <w:rsid w:val="00EE2F9A"/>
    <w:rsid w:val="00EE3124"/>
    <w:rsid w:val="00EE347F"/>
    <w:rsid w:val="00EE4642"/>
    <w:rsid w:val="00EE4C62"/>
    <w:rsid w:val="00EE5250"/>
    <w:rsid w:val="00EE6357"/>
    <w:rsid w:val="00EE6637"/>
    <w:rsid w:val="00EE7023"/>
    <w:rsid w:val="00EE7F3F"/>
    <w:rsid w:val="00EF03E0"/>
    <w:rsid w:val="00EF0814"/>
    <w:rsid w:val="00EF0F43"/>
    <w:rsid w:val="00EF27DB"/>
    <w:rsid w:val="00EF2ED1"/>
    <w:rsid w:val="00EF3256"/>
    <w:rsid w:val="00EF3711"/>
    <w:rsid w:val="00EF44B0"/>
    <w:rsid w:val="00EF521C"/>
    <w:rsid w:val="00EF54E5"/>
    <w:rsid w:val="00EF5645"/>
    <w:rsid w:val="00EF591E"/>
    <w:rsid w:val="00EF5F1D"/>
    <w:rsid w:val="00EF7764"/>
    <w:rsid w:val="00F000B9"/>
    <w:rsid w:val="00F00F6E"/>
    <w:rsid w:val="00F01112"/>
    <w:rsid w:val="00F013DC"/>
    <w:rsid w:val="00F0142B"/>
    <w:rsid w:val="00F01BC2"/>
    <w:rsid w:val="00F027C3"/>
    <w:rsid w:val="00F028E3"/>
    <w:rsid w:val="00F029F8"/>
    <w:rsid w:val="00F02F18"/>
    <w:rsid w:val="00F0393C"/>
    <w:rsid w:val="00F04321"/>
    <w:rsid w:val="00F04A21"/>
    <w:rsid w:val="00F05411"/>
    <w:rsid w:val="00F055FE"/>
    <w:rsid w:val="00F05D45"/>
    <w:rsid w:val="00F05E5D"/>
    <w:rsid w:val="00F0639D"/>
    <w:rsid w:val="00F06794"/>
    <w:rsid w:val="00F0704A"/>
    <w:rsid w:val="00F0723E"/>
    <w:rsid w:val="00F0757F"/>
    <w:rsid w:val="00F07DF9"/>
    <w:rsid w:val="00F10670"/>
    <w:rsid w:val="00F11774"/>
    <w:rsid w:val="00F11EC4"/>
    <w:rsid w:val="00F11F34"/>
    <w:rsid w:val="00F124FC"/>
    <w:rsid w:val="00F12BCD"/>
    <w:rsid w:val="00F12FCD"/>
    <w:rsid w:val="00F144B8"/>
    <w:rsid w:val="00F15E43"/>
    <w:rsid w:val="00F17844"/>
    <w:rsid w:val="00F213FA"/>
    <w:rsid w:val="00F214A9"/>
    <w:rsid w:val="00F2189E"/>
    <w:rsid w:val="00F21DDB"/>
    <w:rsid w:val="00F21E3D"/>
    <w:rsid w:val="00F21E71"/>
    <w:rsid w:val="00F2225A"/>
    <w:rsid w:val="00F222CC"/>
    <w:rsid w:val="00F23221"/>
    <w:rsid w:val="00F23A24"/>
    <w:rsid w:val="00F243A9"/>
    <w:rsid w:val="00F24CB5"/>
    <w:rsid w:val="00F25226"/>
    <w:rsid w:val="00F267EC"/>
    <w:rsid w:val="00F27076"/>
    <w:rsid w:val="00F2707F"/>
    <w:rsid w:val="00F2786F"/>
    <w:rsid w:val="00F30DED"/>
    <w:rsid w:val="00F30FAA"/>
    <w:rsid w:val="00F31325"/>
    <w:rsid w:val="00F31AD4"/>
    <w:rsid w:val="00F31C1F"/>
    <w:rsid w:val="00F32298"/>
    <w:rsid w:val="00F3255B"/>
    <w:rsid w:val="00F32D00"/>
    <w:rsid w:val="00F33125"/>
    <w:rsid w:val="00F3396D"/>
    <w:rsid w:val="00F340C8"/>
    <w:rsid w:val="00F34155"/>
    <w:rsid w:val="00F34372"/>
    <w:rsid w:val="00F34A80"/>
    <w:rsid w:val="00F352AE"/>
    <w:rsid w:val="00F3549D"/>
    <w:rsid w:val="00F356AF"/>
    <w:rsid w:val="00F37193"/>
    <w:rsid w:val="00F3754C"/>
    <w:rsid w:val="00F3754D"/>
    <w:rsid w:val="00F3798F"/>
    <w:rsid w:val="00F42186"/>
    <w:rsid w:val="00F42AB7"/>
    <w:rsid w:val="00F4363C"/>
    <w:rsid w:val="00F44128"/>
    <w:rsid w:val="00F45162"/>
    <w:rsid w:val="00F45476"/>
    <w:rsid w:val="00F45835"/>
    <w:rsid w:val="00F47AF2"/>
    <w:rsid w:val="00F47C46"/>
    <w:rsid w:val="00F47EC8"/>
    <w:rsid w:val="00F50E7A"/>
    <w:rsid w:val="00F51064"/>
    <w:rsid w:val="00F510DE"/>
    <w:rsid w:val="00F51590"/>
    <w:rsid w:val="00F521E3"/>
    <w:rsid w:val="00F53F33"/>
    <w:rsid w:val="00F5408B"/>
    <w:rsid w:val="00F5567E"/>
    <w:rsid w:val="00F556A1"/>
    <w:rsid w:val="00F55802"/>
    <w:rsid w:val="00F55F4E"/>
    <w:rsid w:val="00F560D4"/>
    <w:rsid w:val="00F56145"/>
    <w:rsid w:val="00F56CBC"/>
    <w:rsid w:val="00F6055A"/>
    <w:rsid w:val="00F608A2"/>
    <w:rsid w:val="00F615D4"/>
    <w:rsid w:val="00F624F3"/>
    <w:rsid w:val="00F62C80"/>
    <w:rsid w:val="00F6367C"/>
    <w:rsid w:val="00F6398E"/>
    <w:rsid w:val="00F63AC2"/>
    <w:rsid w:val="00F63EFC"/>
    <w:rsid w:val="00F63F1D"/>
    <w:rsid w:val="00F64158"/>
    <w:rsid w:val="00F64582"/>
    <w:rsid w:val="00F64B1E"/>
    <w:rsid w:val="00F6537D"/>
    <w:rsid w:val="00F6587F"/>
    <w:rsid w:val="00F6660D"/>
    <w:rsid w:val="00F6669E"/>
    <w:rsid w:val="00F66D8E"/>
    <w:rsid w:val="00F6710B"/>
    <w:rsid w:val="00F67E1F"/>
    <w:rsid w:val="00F70758"/>
    <w:rsid w:val="00F715FB"/>
    <w:rsid w:val="00F71C76"/>
    <w:rsid w:val="00F71FBA"/>
    <w:rsid w:val="00F722AD"/>
    <w:rsid w:val="00F72906"/>
    <w:rsid w:val="00F72B66"/>
    <w:rsid w:val="00F72B85"/>
    <w:rsid w:val="00F73384"/>
    <w:rsid w:val="00F73529"/>
    <w:rsid w:val="00F74707"/>
    <w:rsid w:val="00F74BF0"/>
    <w:rsid w:val="00F7547F"/>
    <w:rsid w:val="00F75BEF"/>
    <w:rsid w:val="00F75D01"/>
    <w:rsid w:val="00F76A49"/>
    <w:rsid w:val="00F76AE1"/>
    <w:rsid w:val="00F76DDF"/>
    <w:rsid w:val="00F7712A"/>
    <w:rsid w:val="00F7739E"/>
    <w:rsid w:val="00F77479"/>
    <w:rsid w:val="00F774F4"/>
    <w:rsid w:val="00F80E4E"/>
    <w:rsid w:val="00F80F94"/>
    <w:rsid w:val="00F81BD5"/>
    <w:rsid w:val="00F81D7D"/>
    <w:rsid w:val="00F81E04"/>
    <w:rsid w:val="00F82A22"/>
    <w:rsid w:val="00F82AE7"/>
    <w:rsid w:val="00F82D1A"/>
    <w:rsid w:val="00F8381F"/>
    <w:rsid w:val="00F838B1"/>
    <w:rsid w:val="00F83AF2"/>
    <w:rsid w:val="00F83E25"/>
    <w:rsid w:val="00F8482D"/>
    <w:rsid w:val="00F858B8"/>
    <w:rsid w:val="00F8597F"/>
    <w:rsid w:val="00F85BC0"/>
    <w:rsid w:val="00F85D81"/>
    <w:rsid w:val="00F863C7"/>
    <w:rsid w:val="00F8654B"/>
    <w:rsid w:val="00F8675F"/>
    <w:rsid w:val="00F86EB7"/>
    <w:rsid w:val="00F874C4"/>
    <w:rsid w:val="00F87E62"/>
    <w:rsid w:val="00F90CAC"/>
    <w:rsid w:val="00F9192C"/>
    <w:rsid w:val="00F91A6B"/>
    <w:rsid w:val="00F91D60"/>
    <w:rsid w:val="00F9204C"/>
    <w:rsid w:val="00F92B8E"/>
    <w:rsid w:val="00F931FA"/>
    <w:rsid w:val="00F93AD3"/>
    <w:rsid w:val="00F93D80"/>
    <w:rsid w:val="00F93E06"/>
    <w:rsid w:val="00F9423C"/>
    <w:rsid w:val="00F94E6F"/>
    <w:rsid w:val="00F9503F"/>
    <w:rsid w:val="00F95969"/>
    <w:rsid w:val="00F9611D"/>
    <w:rsid w:val="00F96228"/>
    <w:rsid w:val="00FA0242"/>
    <w:rsid w:val="00FA0AD3"/>
    <w:rsid w:val="00FA0B96"/>
    <w:rsid w:val="00FA12CA"/>
    <w:rsid w:val="00FA1531"/>
    <w:rsid w:val="00FA250A"/>
    <w:rsid w:val="00FA2DD4"/>
    <w:rsid w:val="00FA309F"/>
    <w:rsid w:val="00FA34EF"/>
    <w:rsid w:val="00FA36B0"/>
    <w:rsid w:val="00FA3A45"/>
    <w:rsid w:val="00FA4338"/>
    <w:rsid w:val="00FA45A4"/>
    <w:rsid w:val="00FA4932"/>
    <w:rsid w:val="00FA49A9"/>
    <w:rsid w:val="00FA52C2"/>
    <w:rsid w:val="00FA52CC"/>
    <w:rsid w:val="00FA55DA"/>
    <w:rsid w:val="00FA59AE"/>
    <w:rsid w:val="00FA5B84"/>
    <w:rsid w:val="00FA5DBD"/>
    <w:rsid w:val="00FA5E7C"/>
    <w:rsid w:val="00FA63B1"/>
    <w:rsid w:val="00FA6460"/>
    <w:rsid w:val="00FA64DE"/>
    <w:rsid w:val="00FA76B9"/>
    <w:rsid w:val="00FA7BD8"/>
    <w:rsid w:val="00FB0271"/>
    <w:rsid w:val="00FB0401"/>
    <w:rsid w:val="00FB04D4"/>
    <w:rsid w:val="00FB0969"/>
    <w:rsid w:val="00FB0B4E"/>
    <w:rsid w:val="00FB0BEE"/>
    <w:rsid w:val="00FB0E6B"/>
    <w:rsid w:val="00FB2758"/>
    <w:rsid w:val="00FB2900"/>
    <w:rsid w:val="00FB2AD8"/>
    <w:rsid w:val="00FB2BE8"/>
    <w:rsid w:val="00FB3767"/>
    <w:rsid w:val="00FB3CA7"/>
    <w:rsid w:val="00FB4174"/>
    <w:rsid w:val="00FB43FB"/>
    <w:rsid w:val="00FB444A"/>
    <w:rsid w:val="00FB48F6"/>
    <w:rsid w:val="00FB4963"/>
    <w:rsid w:val="00FB4990"/>
    <w:rsid w:val="00FB4C0B"/>
    <w:rsid w:val="00FB4DB9"/>
    <w:rsid w:val="00FB65E6"/>
    <w:rsid w:val="00FB682A"/>
    <w:rsid w:val="00FB69E5"/>
    <w:rsid w:val="00FB72E1"/>
    <w:rsid w:val="00FB7763"/>
    <w:rsid w:val="00FB779F"/>
    <w:rsid w:val="00FB785C"/>
    <w:rsid w:val="00FB78D3"/>
    <w:rsid w:val="00FB7B72"/>
    <w:rsid w:val="00FB7E38"/>
    <w:rsid w:val="00FC0CF5"/>
    <w:rsid w:val="00FC1B77"/>
    <w:rsid w:val="00FC1FEB"/>
    <w:rsid w:val="00FC241E"/>
    <w:rsid w:val="00FC242E"/>
    <w:rsid w:val="00FC2717"/>
    <w:rsid w:val="00FC2825"/>
    <w:rsid w:val="00FC2A78"/>
    <w:rsid w:val="00FC2EAD"/>
    <w:rsid w:val="00FC3090"/>
    <w:rsid w:val="00FC4069"/>
    <w:rsid w:val="00FC452C"/>
    <w:rsid w:val="00FC453E"/>
    <w:rsid w:val="00FC4BDA"/>
    <w:rsid w:val="00FC4D75"/>
    <w:rsid w:val="00FC519D"/>
    <w:rsid w:val="00FC52B8"/>
    <w:rsid w:val="00FC57D6"/>
    <w:rsid w:val="00FC583B"/>
    <w:rsid w:val="00FC585D"/>
    <w:rsid w:val="00FC598D"/>
    <w:rsid w:val="00FC59FD"/>
    <w:rsid w:val="00FC6358"/>
    <w:rsid w:val="00FC6901"/>
    <w:rsid w:val="00FC6EA7"/>
    <w:rsid w:val="00FC721D"/>
    <w:rsid w:val="00FC7A21"/>
    <w:rsid w:val="00FC7DBE"/>
    <w:rsid w:val="00FD0637"/>
    <w:rsid w:val="00FD0977"/>
    <w:rsid w:val="00FD0EFE"/>
    <w:rsid w:val="00FD1284"/>
    <w:rsid w:val="00FD14E5"/>
    <w:rsid w:val="00FD1A55"/>
    <w:rsid w:val="00FD2A13"/>
    <w:rsid w:val="00FD2F72"/>
    <w:rsid w:val="00FD3214"/>
    <w:rsid w:val="00FD34AE"/>
    <w:rsid w:val="00FD4366"/>
    <w:rsid w:val="00FD53E9"/>
    <w:rsid w:val="00FD5BFC"/>
    <w:rsid w:val="00FD5DC0"/>
    <w:rsid w:val="00FD5EDC"/>
    <w:rsid w:val="00FD61C5"/>
    <w:rsid w:val="00FD645D"/>
    <w:rsid w:val="00FD69FF"/>
    <w:rsid w:val="00FD6CBF"/>
    <w:rsid w:val="00FD6DC3"/>
    <w:rsid w:val="00FD755B"/>
    <w:rsid w:val="00FD7620"/>
    <w:rsid w:val="00FD7D8E"/>
    <w:rsid w:val="00FE0294"/>
    <w:rsid w:val="00FE0639"/>
    <w:rsid w:val="00FE0D26"/>
    <w:rsid w:val="00FE2FC9"/>
    <w:rsid w:val="00FE37BE"/>
    <w:rsid w:val="00FE3A77"/>
    <w:rsid w:val="00FE3B48"/>
    <w:rsid w:val="00FE3C5A"/>
    <w:rsid w:val="00FE3E11"/>
    <w:rsid w:val="00FE4037"/>
    <w:rsid w:val="00FE48EB"/>
    <w:rsid w:val="00FE67F1"/>
    <w:rsid w:val="00FE6AF6"/>
    <w:rsid w:val="00FE6B10"/>
    <w:rsid w:val="00FE6E9A"/>
    <w:rsid w:val="00FE7AE5"/>
    <w:rsid w:val="00FF0018"/>
    <w:rsid w:val="00FF02C0"/>
    <w:rsid w:val="00FF03E9"/>
    <w:rsid w:val="00FF0C8C"/>
    <w:rsid w:val="00FF15A3"/>
    <w:rsid w:val="00FF241D"/>
    <w:rsid w:val="00FF290F"/>
    <w:rsid w:val="00FF2BA5"/>
    <w:rsid w:val="00FF2BF7"/>
    <w:rsid w:val="00FF2F4E"/>
    <w:rsid w:val="00FF3497"/>
    <w:rsid w:val="00FF3A96"/>
    <w:rsid w:val="00FF3D06"/>
    <w:rsid w:val="00FF3DC8"/>
    <w:rsid w:val="00FF41A4"/>
    <w:rsid w:val="00FF44BB"/>
    <w:rsid w:val="00FF4B26"/>
    <w:rsid w:val="00FF4D0E"/>
    <w:rsid w:val="00FF4E3E"/>
    <w:rsid w:val="00FF6095"/>
    <w:rsid w:val="00FF68FB"/>
    <w:rsid w:val="00FF6A0F"/>
    <w:rsid w:val="00FF6C7E"/>
    <w:rsid w:val="00FF7312"/>
    <w:rsid w:val="00FF7626"/>
    <w:rsid w:val="00FF7634"/>
    <w:rsid w:val="00FF763E"/>
    <w:rsid w:val="00FF76DF"/>
    <w:rsid w:val="01221F93"/>
    <w:rsid w:val="015B0B4A"/>
    <w:rsid w:val="0428228B"/>
    <w:rsid w:val="0629798D"/>
    <w:rsid w:val="0A27695F"/>
    <w:rsid w:val="0B75076B"/>
    <w:rsid w:val="0BCE04B5"/>
    <w:rsid w:val="0C1B78D1"/>
    <w:rsid w:val="0D3335BA"/>
    <w:rsid w:val="0EFF16A6"/>
    <w:rsid w:val="12CA0DFE"/>
    <w:rsid w:val="13131C50"/>
    <w:rsid w:val="145F04F1"/>
    <w:rsid w:val="16EB3650"/>
    <w:rsid w:val="17EA2480"/>
    <w:rsid w:val="18EC0494"/>
    <w:rsid w:val="19582D2D"/>
    <w:rsid w:val="1BD31242"/>
    <w:rsid w:val="1C824433"/>
    <w:rsid w:val="1D2A7A07"/>
    <w:rsid w:val="1EFA1543"/>
    <w:rsid w:val="1F622468"/>
    <w:rsid w:val="20064F96"/>
    <w:rsid w:val="2211309A"/>
    <w:rsid w:val="23812C90"/>
    <w:rsid w:val="23AE4168"/>
    <w:rsid w:val="23BB04AF"/>
    <w:rsid w:val="23CB75D2"/>
    <w:rsid w:val="23CE2F9E"/>
    <w:rsid w:val="2659361D"/>
    <w:rsid w:val="26F57BE4"/>
    <w:rsid w:val="278E7035"/>
    <w:rsid w:val="2AAD7DB1"/>
    <w:rsid w:val="2E255EB0"/>
    <w:rsid w:val="2E7B7A01"/>
    <w:rsid w:val="30A85AF7"/>
    <w:rsid w:val="31B5253F"/>
    <w:rsid w:val="31BC233F"/>
    <w:rsid w:val="36356EAC"/>
    <w:rsid w:val="37670431"/>
    <w:rsid w:val="397D3044"/>
    <w:rsid w:val="3B042A4F"/>
    <w:rsid w:val="3C507EA0"/>
    <w:rsid w:val="3C7A5BC5"/>
    <w:rsid w:val="3CC82828"/>
    <w:rsid w:val="3F6E0314"/>
    <w:rsid w:val="40C745CF"/>
    <w:rsid w:val="41021AC3"/>
    <w:rsid w:val="43AA2C88"/>
    <w:rsid w:val="445540F5"/>
    <w:rsid w:val="44C069EF"/>
    <w:rsid w:val="466B7BBA"/>
    <w:rsid w:val="493E2EF1"/>
    <w:rsid w:val="4B120922"/>
    <w:rsid w:val="4B422A25"/>
    <w:rsid w:val="4BC35E6D"/>
    <w:rsid w:val="4BC5457E"/>
    <w:rsid w:val="4DC22D24"/>
    <w:rsid w:val="4F8624A9"/>
    <w:rsid w:val="508D2F68"/>
    <w:rsid w:val="534A1C40"/>
    <w:rsid w:val="54177213"/>
    <w:rsid w:val="54C04E83"/>
    <w:rsid w:val="55364495"/>
    <w:rsid w:val="574A2360"/>
    <w:rsid w:val="57813503"/>
    <w:rsid w:val="5AB054EC"/>
    <w:rsid w:val="5B7E1CC6"/>
    <w:rsid w:val="5CDE396C"/>
    <w:rsid w:val="5CF87892"/>
    <w:rsid w:val="5DB1089D"/>
    <w:rsid w:val="5DEB0D67"/>
    <w:rsid w:val="5E303EDD"/>
    <w:rsid w:val="5F874378"/>
    <w:rsid w:val="63260396"/>
    <w:rsid w:val="63597C0E"/>
    <w:rsid w:val="64A80E7F"/>
    <w:rsid w:val="65650175"/>
    <w:rsid w:val="660202AA"/>
    <w:rsid w:val="675F4732"/>
    <w:rsid w:val="67880AE7"/>
    <w:rsid w:val="68295512"/>
    <w:rsid w:val="68803E6B"/>
    <w:rsid w:val="698A701B"/>
    <w:rsid w:val="6C54087F"/>
    <w:rsid w:val="6DB70DD5"/>
    <w:rsid w:val="6EE64B29"/>
    <w:rsid w:val="6F7F0D27"/>
    <w:rsid w:val="70DA0FCE"/>
    <w:rsid w:val="70F427C2"/>
    <w:rsid w:val="715045BF"/>
    <w:rsid w:val="71E825F3"/>
    <w:rsid w:val="728750EB"/>
    <w:rsid w:val="72896626"/>
    <w:rsid w:val="72F16946"/>
    <w:rsid w:val="73AC6869"/>
    <w:rsid w:val="760769F2"/>
    <w:rsid w:val="785837BB"/>
    <w:rsid w:val="78EA277A"/>
    <w:rsid w:val="79272146"/>
    <w:rsid w:val="7C7603F7"/>
    <w:rsid w:val="7D8E6B9B"/>
    <w:rsid w:val="7EFC18E2"/>
    <w:rsid w:val="7F2C379B"/>
    <w:rsid w:val="7F9036BF"/>
    <w:rsid w:val="7FA570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69"/>
    <w:autoRedefine/>
    <w:qFormat/>
    <w:uiPriority w:val="0"/>
    <w:pPr>
      <w:keepNext/>
      <w:keepLines/>
      <w:tabs>
        <w:tab w:val="left" w:pos="360"/>
      </w:tabs>
      <w:adjustRightInd w:val="0"/>
      <w:spacing w:before="120" w:line="360" w:lineRule="auto"/>
      <w:textAlignment w:val="baseline"/>
      <w:outlineLvl w:val="0"/>
    </w:pPr>
    <w:rPr>
      <w:rFonts w:eastAsia="黑体"/>
      <w:b/>
      <w:kern w:val="44"/>
      <w:sz w:val="28"/>
      <w:szCs w:val="20"/>
    </w:rPr>
  </w:style>
  <w:style w:type="paragraph" w:styleId="5">
    <w:name w:val="heading 2"/>
    <w:basedOn w:val="1"/>
    <w:next w:val="1"/>
    <w:link w:val="70"/>
    <w:qFormat/>
    <w:uiPriority w:val="0"/>
    <w:pPr>
      <w:keepNext/>
      <w:tabs>
        <w:tab w:val="left" w:pos="360"/>
        <w:tab w:val="left" w:pos="1021"/>
      </w:tabs>
      <w:adjustRightInd w:val="0"/>
      <w:spacing w:before="120" w:line="360" w:lineRule="auto"/>
      <w:jc w:val="center"/>
      <w:textAlignment w:val="baseline"/>
      <w:outlineLvl w:val="1"/>
    </w:pPr>
    <w:rPr>
      <w:rFonts w:eastAsia="黑体"/>
      <w:b/>
      <w:kern w:val="0"/>
      <w:sz w:val="28"/>
      <w:szCs w:val="20"/>
    </w:rPr>
  </w:style>
  <w:style w:type="paragraph" w:styleId="6">
    <w:name w:val="heading 3"/>
    <w:basedOn w:val="1"/>
    <w:next w:val="1"/>
    <w:link w:val="71"/>
    <w:autoRedefine/>
    <w:qFormat/>
    <w:uiPriority w:val="0"/>
    <w:pPr>
      <w:tabs>
        <w:tab w:val="left" w:pos="360"/>
        <w:tab w:val="left" w:pos="900"/>
        <w:tab w:val="left" w:pos="1588"/>
      </w:tabs>
      <w:adjustRightInd w:val="0"/>
      <w:spacing w:before="120" w:line="360" w:lineRule="auto"/>
      <w:textAlignment w:val="baseline"/>
      <w:outlineLvl w:val="2"/>
    </w:pPr>
    <w:rPr>
      <w:rFonts w:eastAsia="黑体"/>
      <w:b/>
      <w:kern w:val="0"/>
      <w:sz w:val="28"/>
      <w:szCs w:val="20"/>
    </w:rPr>
  </w:style>
  <w:style w:type="paragraph" w:styleId="7">
    <w:name w:val="heading 4"/>
    <w:basedOn w:val="1"/>
    <w:next w:val="1"/>
    <w:autoRedefine/>
    <w:qFormat/>
    <w:uiPriority w:val="0"/>
    <w:pPr>
      <w:tabs>
        <w:tab w:val="left" w:pos="360"/>
        <w:tab w:val="left" w:pos="2155"/>
      </w:tabs>
      <w:adjustRightInd w:val="0"/>
      <w:spacing w:before="120" w:line="360" w:lineRule="auto"/>
      <w:textAlignment w:val="baseline"/>
      <w:outlineLvl w:val="3"/>
    </w:pPr>
    <w:rPr>
      <w:rFonts w:ascii="Arial" w:hAnsi="Arial" w:eastAsia="黑体"/>
      <w:kern w:val="0"/>
      <w:sz w:val="28"/>
      <w:szCs w:val="20"/>
    </w:rPr>
  </w:style>
  <w:style w:type="paragraph" w:styleId="8">
    <w:name w:val="heading 5"/>
    <w:basedOn w:val="1"/>
    <w:next w:val="1"/>
    <w:link w:val="72"/>
    <w:qFormat/>
    <w:uiPriority w:val="0"/>
    <w:pPr>
      <w:keepNext/>
      <w:keepLines/>
      <w:numPr>
        <w:ilvl w:val="4"/>
        <w:numId w:val="1"/>
      </w:numPr>
      <w:adjustRightInd w:val="0"/>
      <w:spacing w:before="280" w:after="290" w:line="376" w:lineRule="atLeast"/>
      <w:textAlignment w:val="baseline"/>
      <w:outlineLvl w:val="4"/>
    </w:pPr>
    <w:rPr>
      <w:b/>
      <w:kern w:val="0"/>
      <w:sz w:val="28"/>
    </w:rPr>
  </w:style>
  <w:style w:type="paragraph" w:styleId="9">
    <w:name w:val="heading 7"/>
    <w:basedOn w:val="1"/>
    <w:next w:val="1"/>
    <w:link w:val="155"/>
    <w:autoRedefine/>
    <w:semiHidden/>
    <w:unhideWhenUsed/>
    <w:qFormat/>
    <w:uiPriority w:val="0"/>
    <w:pPr>
      <w:keepNext/>
      <w:keepLines/>
      <w:spacing w:before="240" w:after="64" w:line="320" w:lineRule="auto"/>
      <w:outlineLvl w:val="6"/>
    </w:pPr>
    <w:rPr>
      <w:b/>
      <w:bCs/>
      <w:sz w:val="24"/>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7"/>
    <w:autoRedefine/>
    <w:qFormat/>
    <w:uiPriority w:val="99"/>
    <w:pPr>
      <w:spacing w:after="120"/>
    </w:pPr>
  </w:style>
  <w:style w:type="paragraph" w:styleId="3">
    <w:name w:val="Subtitle"/>
    <w:basedOn w:val="1"/>
    <w:next w:val="1"/>
    <w:qFormat/>
    <w:uiPriority w:val="11"/>
    <w:pPr>
      <w:widowControl/>
      <w:jc w:val="right"/>
    </w:pPr>
    <w:rPr>
      <w:rFonts w:ascii="Arial" w:hAnsi="Arial"/>
      <w:iCs/>
      <w:kern w:val="0"/>
      <w:sz w:val="14"/>
      <w:lang w:val="nl-NL" w:eastAsia="en-US"/>
    </w:rPr>
  </w:style>
  <w:style w:type="paragraph" w:styleId="10">
    <w:name w:val="Normal Indent"/>
    <w:basedOn w:val="1"/>
    <w:next w:val="1"/>
    <w:link w:val="88"/>
    <w:autoRedefine/>
    <w:qFormat/>
    <w:uiPriority w:val="0"/>
    <w:pPr>
      <w:widowControl/>
      <w:ind w:firstLine="420" w:firstLineChars="200"/>
      <w:jc w:val="left"/>
    </w:pPr>
    <w:rPr>
      <w:kern w:val="0"/>
      <w:sz w:val="20"/>
      <w:szCs w:val="20"/>
    </w:rPr>
  </w:style>
  <w:style w:type="paragraph" w:styleId="11">
    <w:name w:val="Document Map"/>
    <w:basedOn w:val="1"/>
    <w:autoRedefine/>
    <w:semiHidden/>
    <w:qFormat/>
    <w:uiPriority w:val="0"/>
    <w:pPr>
      <w:shd w:val="clear" w:color="auto" w:fill="000080"/>
    </w:pPr>
  </w:style>
  <w:style w:type="paragraph" w:styleId="12">
    <w:name w:val="toa heading"/>
    <w:basedOn w:val="1"/>
    <w:next w:val="1"/>
    <w:qFormat/>
    <w:uiPriority w:val="0"/>
    <w:pPr>
      <w:spacing w:before="120"/>
    </w:pPr>
    <w:rPr>
      <w:rFonts w:ascii="Arial" w:hAnsi="Arial"/>
      <w:sz w:val="24"/>
      <w:szCs w:val="20"/>
    </w:rPr>
  </w:style>
  <w:style w:type="paragraph" w:styleId="13">
    <w:name w:val="annotation text"/>
    <w:basedOn w:val="1"/>
    <w:link w:val="98"/>
    <w:autoRedefine/>
    <w:qFormat/>
    <w:uiPriority w:val="99"/>
    <w:pPr>
      <w:jc w:val="left"/>
    </w:pPr>
  </w:style>
  <w:style w:type="paragraph" w:styleId="14">
    <w:name w:val="Body Text 3"/>
    <w:basedOn w:val="1"/>
    <w:link w:val="73"/>
    <w:autoRedefine/>
    <w:qFormat/>
    <w:uiPriority w:val="0"/>
    <w:pPr>
      <w:spacing w:after="120"/>
    </w:pPr>
    <w:rPr>
      <w:sz w:val="16"/>
      <w:szCs w:val="16"/>
    </w:rPr>
  </w:style>
  <w:style w:type="paragraph" w:styleId="15">
    <w:name w:val="Body Text Indent"/>
    <w:basedOn w:val="1"/>
    <w:link w:val="153"/>
    <w:autoRedefine/>
    <w:qFormat/>
    <w:uiPriority w:val="0"/>
    <w:pPr>
      <w:spacing w:after="120"/>
      <w:ind w:left="420" w:leftChars="200"/>
    </w:pPr>
  </w:style>
  <w:style w:type="paragraph" w:styleId="16">
    <w:name w:val="Block Text"/>
    <w:basedOn w:val="1"/>
    <w:autoRedefine/>
    <w:qFormat/>
    <w:uiPriority w:val="0"/>
    <w:pPr>
      <w:adjustRightInd w:val="0"/>
      <w:ind w:left="-108" w:right="-108" w:rightChars="-45"/>
      <w:jc w:val="left"/>
      <w:textAlignment w:val="baseline"/>
    </w:pPr>
    <w:rPr>
      <w:rFonts w:ascii="宋体" w:hAnsi="Times New Roman"/>
      <w:b/>
      <w:kern w:val="0"/>
      <w:sz w:val="24"/>
      <w:szCs w:val="20"/>
    </w:rPr>
  </w:style>
  <w:style w:type="paragraph" w:styleId="17">
    <w:name w:val="HTML Address"/>
    <w:basedOn w:val="1"/>
    <w:link w:val="146"/>
    <w:autoRedefine/>
    <w:qFormat/>
    <w:uiPriority w:val="0"/>
    <w:rPr>
      <w:rFonts w:eastAsiaTheme="minorEastAsia" w:cstheme="minorBidi"/>
      <w:sz w:val="24"/>
      <w:szCs w:val="22"/>
    </w:rPr>
  </w:style>
  <w:style w:type="paragraph" w:styleId="18">
    <w:name w:val="toc 3"/>
    <w:basedOn w:val="1"/>
    <w:next w:val="1"/>
    <w:autoRedefine/>
    <w:qFormat/>
    <w:uiPriority w:val="39"/>
    <w:pPr>
      <w:ind w:left="840" w:leftChars="400"/>
    </w:pPr>
  </w:style>
  <w:style w:type="paragraph" w:styleId="19">
    <w:name w:val="Plain Text"/>
    <w:basedOn w:val="1"/>
    <w:link w:val="83"/>
    <w:qFormat/>
    <w:uiPriority w:val="0"/>
    <w:pPr>
      <w:spacing w:line="360" w:lineRule="auto"/>
    </w:pPr>
    <w:rPr>
      <w:rFonts w:ascii="宋体" w:hAnsi="宋体"/>
      <w:sz w:val="24"/>
    </w:rPr>
  </w:style>
  <w:style w:type="paragraph" w:styleId="20">
    <w:name w:val="Date"/>
    <w:basedOn w:val="1"/>
    <w:next w:val="1"/>
    <w:link w:val="86"/>
    <w:autoRedefine/>
    <w:qFormat/>
    <w:uiPriority w:val="0"/>
    <w:pPr>
      <w:ind w:left="100" w:leftChars="2500"/>
    </w:pPr>
  </w:style>
  <w:style w:type="paragraph" w:styleId="21">
    <w:name w:val="Body Text Indent 2"/>
    <w:basedOn w:val="1"/>
    <w:link w:val="87"/>
    <w:qFormat/>
    <w:uiPriority w:val="0"/>
    <w:pPr>
      <w:spacing w:after="120" w:line="480" w:lineRule="auto"/>
      <w:ind w:left="200" w:leftChars="200"/>
    </w:pPr>
  </w:style>
  <w:style w:type="paragraph" w:styleId="22">
    <w:name w:val="Balloon Text"/>
    <w:basedOn w:val="1"/>
    <w:autoRedefine/>
    <w:semiHidden/>
    <w:qFormat/>
    <w:uiPriority w:val="0"/>
    <w:rPr>
      <w:sz w:val="18"/>
      <w:szCs w:val="18"/>
    </w:rPr>
  </w:style>
  <w:style w:type="paragraph" w:styleId="23">
    <w:name w:val="footer"/>
    <w:basedOn w:val="1"/>
    <w:link w:val="76"/>
    <w:autoRedefine/>
    <w:qFormat/>
    <w:uiPriority w:val="99"/>
    <w:pPr>
      <w:tabs>
        <w:tab w:val="center" w:pos="4153"/>
        <w:tab w:val="right" w:pos="8306"/>
      </w:tabs>
      <w:snapToGrid w:val="0"/>
      <w:jc w:val="left"/>
    </w:pPr>
    <w:rPr>
      <w:rFonts w:ascii="宋体"/>
      <w:sz w:val="18"/>
      <w:szCs w:val="20"/>
    </w:rPr>
  </w:style>
  <w:style w:type="paragraph" w:styleId="24">
    <w:name w:val="header"/>
    <w:basedOn w:val="1"/>
    <w:link w:val="105"/>
    <w:autoRedefine/>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39"/>
    <w:pPr>
      <w:tabs>
        <w:tab w:val="right" w:leader="dot" w:pos="9628"/>
      </w:tabs>
      <w:spacing w:before="120" w:after="120"/>
      <w:ind w:firstLine="74" w:firstLineChars="74"/>
      <w:jc w:val="left"/>
    </w:pPr>
    <w:rPr>
      <w:b/>
      <w:bCs/>
      <w:caps/>
      <w:sz w:val="20"/>
      <w:szCs w:val="20"/>
    </w:rPr>
  </w:style>
  <w:style w:type="paragraph" w:styleId="26">
    <w:name w:val="toc 2"/>
    <w:basedOn w:val="1"/>
    <w:next w:val="1"/>
    <w:autoRedefine/>
    <w:qFormat/>
    <w:uiPriority w:val="39"/>
    <w:pPr>
      <w:tabs>
        <w:tab w:val="right" w:leader="dot" w:pos="9628"/>
      </w:tabs>
      <w:spacing w:line="260" w:lineRule="exact"/>
      <w:ind w:left="210"/>
      <w:jc w:val="left"/>
    </w:pPr>
    <w:rPr>
      <w:smallCaps/>
      <w:sz w:val="20"/>
      <w:szCs w:val="20"/>
    </w:rPr>
  </w:style>
  <w:style w:type="paragraph" w:styleId="27">
    <w:name w:val="toc 9"/>
    <w:basedOn w:val="1"/>
    <w:next w:val="1"/>
    <w:autoRedefine/>
    <w:qFormat/>
    <w:uiPriority w:val="0"/>
    <w:pPr>
      <w:ind w:left="1680"/>
      <w:jc w:val="left"/>
    </w:pPr>
    <w:rPr>
      <w:sz w:val="18"/>
      <w:szCs w:val="18"/>
    </w:rPr>
  </w:style>
  <w:style w:type="paragraph" w:styleId="28">
    <w:name w:val="Body Text 2"/>
    <w:basedOn w:val="1"/>
    <w:link w:val="91"/>
    <w:autoRedefine/>
    <w:qFormat/>
    <w:uiPriority w:val="0"/>
    <w:pPr>
      <w:spacing w:after="120" w:line="480" w:lineRule="auto"/>
    </w:pPr>
  </w:style>
  <w:style w:type="paragraph" w:styleId="2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30">
    <w:name w:val="Title"/>
    <w:basedOn w:val="1"/>
    <w:next w:val="1"/>
    <w:link w:val="81"/>
    <w:autoRedefine/>
    <w:qFormat/>
    <w:uiPriority w:val="0"/>
    <w:pPr>
      <w:spacing w:before="240" w:after="60"/>
      <w:jc w:val="center"/>
      <w:outlineLvl w:val="0"/>
    </w:pPr>
    <w:rPr>
      <w:rFonts w:ascii="Cambria" w:hAnsi="Cambria"/>
      <w:b/>
      <w:bCs/>
      <w:sz w:val="32"/>
      <w:szCs w:val="32"/>
    </w:rPr>
  </w:style>
  <w:style w:type="paragraph" w:styleId="31">
    <w:name w:val="annotation subject"/>
    <w:basedOn w:val="13"/>
    <w:next w:val="13"/>
    <w:link w:val="99"/>
    <w:autoRedefine/>
    <w:qFormat/>
    <w:uiPriority w:val="0"/>
    <w:rPr>
      <w:b/>
      <w:bCs/>
    </w:rPr>
  </w:style>
  <w:style w:type="paragraph" w:styleId="32">
    <w:name w:val="Body Text First Indent 2"/>
    <w:basedOn w:val="15"/>
    <w:qFormat/>
    <w:uiPriority w:val="0"/>
    <w:pPr>
      <w:ind w:firstLine="420" w:firstLineChars="200"/>
    </w:pPr>
  </w:style>
  <w:style w:type="table" w:styleId="34">
    <w:name w:val="Table Grid"/>
    <w:basedOn w:val="3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bCs/>
    </w:rPr>
  </w:style>
  <w:style w:type="character" w:styleId="37">
    <w:name w:val="page number"/>
    <w:autoRedefine/>
    <w:qFormat/>
    <w:uiPriority w:val="0"/>
  </w:style>
  <w:style w:type="character" w:styleId="38">
    <w:name w:val="Emphasis"/>
    <w:basedOn w:val="35"/>
    <w:qFormat/>
    <w:uiPriority w:val="0"/>
    <w:rPr>
      <w:i/>
    </w:rPr>
  </w:style>
  <w:style w:type="character" w:styleId="39">
    <w:name w:val="Hyperlink"/>
    <w:autoRedefine/>
    <w:qFormat/>
    <w:uiPriority w:val="99"/>
    <w:rPr>
      <w:color w:val="0000FF"/>
      <w:u w:val="single"/>
    </w:rPr>
  </w:style>
  <w:style w:type="character" w:styleId="40">
    <w:name w:val="annotation reference"/>
    <w:autoRedefine/>
    <w:qFormat/>
    <w:uiPriority w:val="99"/>
    <w:rPr>
      <w:sz w:val="21"/>
      <w:szCs w:val="21"/>
    </w:rPr>
  </w:style>
  <w:style w:type="paragraph" w:styleId="41">
    <w:name w:val="List Paragraph"/>
    <w:basedOn w:val="1"/>
    <w:link w:val="75"/>
    <w:autoRedefine/>
    <w:qFormat/>
    <w:uiPriority w:val="34"/>
    <w:pPr>
      <w:ind w:firstLine="420" w:firstLineChars="200"/>
    </w:pPr>
  </w:style>
  <w:style w:type="paragraph" w:customStyle="1" w:styleId="42">
    <w:name w:val="日期1"/>
    <w:basedOn w:val="1"/>
    <w:next w:val="1"/>
    <w:link w:val="89"/>
    <w:qFormat/>
    <w:uiPriority w:val="0"/>
    <w:rPr>
      <w:szCs w:val="20"/>
    </w:rPr>
  </w:style>
  <w:style w:type="paragraph" w:customStyle="1" w:styleId="43">
    <w:name w:val="承康医疗"/>
    <w:basedOn w:val="1"/>
    <w:link w:val="92"/>
    <w:qFormat/>
    <w:uiPriority w:val="0"/>
    <w:pPr>
      <w:widowControl/>
      <w:jc w:val="left"/>
    </w:pPr>
    <w:rPr>
      <w:rFonts w:ascii="微软雅黑" w:hAnsi="微软雅黑" w:eastAsia="微软雅黑"/>
      <w:kern w:val="0"/>
      <w:szCs w:val="21"/>
    </w:rPr>
  </w:style>
  <w:style w:type="paragraph" w:customStyle="1" w:styleId="44">
    <w:name w:val="表格"/>
    <w:basedOn w:val="1"/>
    <w:qFormat/>
    <w:uiPriority w:val="0"/>
    <w:pPr>
      <w:tabs>
        <w:tab w:val="left" w:pos="1200"/>
      </w:tabs>
      <w:spacing w:line="500" w:lineRule="exact"/>
      <w:jc w:val="center"/>
    </w:pPr>
    <w:rPr>
      <w:rFonts w:ascii="宋体"/>
      <w:sz w:val="24"/>
      <w:szCs w:val="18"/>
    </w:rPr>
  </w:style>
  <w:style w:type="paragraph" w:customStyle="1" w:styleId="45">
    <w:name w:val="xl23"/>
    <w:next w:val="27"/>
    <w:autoRedefine/>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46">
    <w:name w:val="Default"/>
    <w:next w:val="1"/>
    <w:link w:val="100"/>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47">
    <w:name w:val="正文五号"/>
    <w:basedOn w:val="1"/>
    <w:autoRedefine/>
    <w:qFormat/>
    <w:uiPriority w:val="0"/>
    <w:rPr>
      <w:rFonts w:ascii="宋体" w:eastAsia="仿宋_GB2312"/>
      <w:szCs w:val="20"/>
    </w:rPr>
  </w:style>
  <w:style w:type="paragraph" w:customStyle="1" w:styleId="48">
    <w:name w:val="Char Char Char Char Char Char Char Char Char Char Char Char"/>
    <w:basedOn w:val="1"/>
    <w:qFormat/>
    <w:uiPriority w:val="0"/>
    <w:pPr>
      <w:tabs>
        <w:tab w:val="right" w:pos="-2120"/>
      </w:tabs>
      <w:snapToGrid w:val="0"/>
    </w:pPr>
    <w:rPr>
      <w:rFonts w:ascii="Tahoma" w:hAnsi="Tahoma"/>
      <w:spacing w:val="6"/>
      <w:sz w:val="24"/>
      <w:szCs w:val="20"/>
    </w:rPr>
  </w:style>
  <w:style w:type="paragraph" w:customStyle="1" w:styleId="49">
    <w:name w:val="Char Char Char"/>
    <w:basedOn w:val="1"/>
    <w:qFormat/>
    <w:uiPriority w:val="0"/>
    <w:pPr>
      <w:ind w:firstLine="200" w:firstLineChars="200"/>
    </w:pPr>
    <w:rPr>
      <w:sz w:val="24"/>
    </w:rPr>
  </w:style>
  <w:style w:type="paragraph" w:customStyle="1" w:styleId="50">
    <w:name w:val="列出段落1"/>
    <w:basedOn w:val="1"/>
    <w:autoRedefine/>
    <w:qFormat/>
    <w:uiPriority w:val="99"/>
    <w:pPr>
      <w:ind w:firstLine="420" w:firstLineChars="200"/>
    </w:pPr>
    <w:rPr>
      <w:szCs w:val="21"/>
    </w:rPr>
  </w:style>
  <w:style w:type="paragraph" w:customStyle="1" w:styleId="51">
    <w:name w:val="Char2 Char Char Char Char Char Char"/>
    <w:basedOn w:val="11"/>
    <w:autoRedefine/>
    <w:qFormat/>
    <w:uiPriority w:val="0"/>
    <w:rPr>
      <w:rFonts w:ascii="Tahoma" w:hAnsi="Tahoma"/>
      <w:sz w:val="24"/>
    </w:rPr>
  </w:style>
  <w:style w:type="paragraph" w:customStyle="1" w:styleId="52">
    <w:name w:val="Char"/>
    <w:basedOn w:val="1"/>
    <w:autoRedefine/>
    <w:qFormat/>
    <w:uiPriority w:val="0"/>
  </w:style>
  <w:style w:type="paragraph" w:customStyle="1" w:styleId="53">
    <w:name w:val="Absatz2AL"/>
    <w:basedOn w:val="2"/>
    <w:next w:val="1"/>
    <w:autoRedefine/>
    <w:qFormat/>
    <w:uiPriority w:val="0"/>
    <w:pPr>
      <w:widowControl/>
      <w:overflowPunct w:val="0"/>
      <w:autoSpaceDE w:val="0"/>
      <w:autoSpaceDN w:val="0"/>
      <w:adjustRightInd w:val="0"/>
      <w:spacing w:after="0"/>
      <w:textAlignment w:val="baseline"/>
    </w:pPr>
    <w:rPr>
      <w:rFonts w:eastAsia="楷体_GB2312"/>
      <w:kern w:val="0"/>
      <w:sz w:val="24"/>
      <w:szCs w:val="20"/>
      <w:lang w:val="de-DE" w:eastAsia="de-DE"/>
    </w:rPr>
  </w:style>
  <w:style w:type="paragraph" w:customStyle="1" w:styleId="54">
    <w:name w:val="Char Char1 Char Char"/>
    <w:basedOn w:val="1"/>
    <w:qFormat/>
    <w:uiPriority w:val="0"/>
    <w:pPr>
      <w:tabs>
        <w:tab w:val="left" w:pos="360"/>
      </w:tabs>
    </w:pPr>
    <w:rPr>
      <w:szCs w:val="20"/>
    </w:rPr>
  </w:style>
  <w:style w:type="paragraph" w:customStyle="1" w:styleId="55">
    <w:name w:val="样式2"/>
    <w:basedOn w:val="1"/>
    <w:qFormat/>
    <w:uiPriority w:val="0"/>
    <w:pPr>
      <w:spacing w:line="360" w:lineRule="auto"/>
    </w:pPr>
    <w:rPr>
      <w:rFonts w:ascii="Century Gothic" w:hAnsi="Century Gothic" w:eastAsia="黑体"/>
      <w:b/>
      <w:sz w:val="32"/>
      <w:szCs w:val="30"/>
    </w:rPr>
  </w:style>
  <w:style w:type="paragraph" w:customStyle="1" w:styleId="56">
    <w:name w:val="Char13"/>
    <w:basedOn w:val="1"/>
    <w:qFormat/>
    <w:uiPriority w:val="0"/>
  </w:style>
  <w:style w:type="paragraph" w:customStyle="1" w:styleId="57">
    <w:name w:val="缺省文本"/>
    <w:basedOn w:val="1"/>
    <w:autoRedefine/>
    <w:qFormat/>
    <w:uiPriority w:val="0"/>
    <w:pPr>
      <w:autoSpaceDE w:val="0"/>
      <w:autoSpaceDN w:val="0"/>
      <w:adjustRightInd w:val="0"/>
      <w:jc w:val="left"/>
    </w:pPr>
    <w:rPr>
      <w:kern w:val="0"/>
      <w:sz w:val="24"/>
      <w:szCs w:val="20"/>
    </w:rPr>
  </w:style>
  <w:style w:type="paragraph" w:customStyle="1" w:styleId="58">
    <w:name w:val="抬头"/>
    <w:basedOn w:val="1"/>
    <w:autoRedefine/>
    <w:qFormat/>
    <w:uiPriority w:val="0"/>
    <w:pPr>
      <w:spacing w:beforeLines="50" w:line="360" w:lineRule="auto"/>
    </w:pPr>
    <w:rPr>
      <w:rFonts w:ascii="宋体"/>
      <w:sz w:val="24"/>
    </w:rPr>
  </w:style>
  <w:style w:type="paragraph" w:customStyle="1" w:styleId="59">
    <w:name w:val="Char1"/>
    <w:basedOn w:val="1"/>
    <w:qFormat/>
    <w:uiPriority w:val="0"/>
    <w:pPr>
      <w:ind w:firstLine="200" w:firstLineChars="200"/>
    </w:pPr>
  </w:style>
  <w:style w:type="paragraph" w:customStyle="1" w:styleId="60">
    <w:name w:val="5"/>
    <w:basedOn w:val="1"/>
    <w:autoRedefine/>
    <w:qFormat/>
    <w:uiPriority w:val="0"/>
    <w:pPr>
      <w:tabs>
        <w:tab w:val="right" w:pos="-2120"/>
      </w:tabs>
      <w:snapToGrid w:val="0"/>
    </w:pPr>
    <w:rPr>
      <w:rFonts w:ascii="Tahoma" w:hAnsi="Tahoma"/>
      <w:spacing w:val="6"/>
      <w:sz w:val="24"/>
      <w:szCs w:val="20"/>
    </w:rPr>
  </w:style>
  <w:style w:type="paragraph" w:customStyle="1" w:styleId="61">
    <w:name w:val="p0"/>
    <w:basedOn w:val="1"/>
    <w:qFormat/>
    <w:uiPriority w:val="0"/>
    <w:pPr>
      <w:widowControl/>
    </w:pPr>
    <w:rPr>
      <w:kern w:val="0"/>
      <w:szCs w:val="21"/>
    </w:rPr>
  </w:style>
  <w:style w:type="paragraph" w:customStyle="1" w:styleId="62">
    <w:name w:val="Char Char Char Char Char Char"/>
    <w:basedOn w:val="1"/>
    <w:autoRedefine/>
    <w:qFormat/>
    <w:uiPriority w:val="0"/>
    <w:rPr>
      <w:rFonts w:ascii="Tahoma" w:hAnsi="Tahoma"/>
      <w:sz w:val="24"/>
      <w:szCs w:val="20"/>
    </w:rPr>
  </w:style>
  <w:style w:type="paragraph" w:styleId="63">
    <w:name w:val="No Spacing"/>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64">
    <w:name w:val="无间隔1"/>
    <w:basedOn w:val="1"/>
    <w:autoRedefine/>
    <w:qFormat/>
    <w:uiPriority w:val="0"/>
    <w:pPr>
      <w:widowControl/>
      <w:jc w:val="left"/>
    </w:pPr>
    <w:rPr>
      <w:kern w:val="0"/>
      <w:sz w:val="22"/>
      <w:szCs w:val="20"/>
      <w:lang w:eastAsia="en-US" w:bidi="en-US"/>
    </w:rPr>
  </w:style>
  <w:style w:type="paragraph" w:customStyle="1" w:styleId="65">
    <w:name w:val="中等深浅网格 21"/>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66">
    <w:name w:val="列表段落1"/>
    <w:basedOn w:val="1"/>
    <w:autoRedefine/>
    <w:qFormat/>
    <w:uiPriority w:val="99"/>
    <w:pPr>
      <w:ind w:firstLine="420" w:firstLineChars="200"/>
    </w:pPr>
    <w:rPr>
      <w:szCs w:val="21"/>
    </w:rPr>
  </w:style>
  <w:style w:type="paragraph" w:customStyle="1" w:styleId="67">
    <w:name w:val="_正文段落"/>
    <w:basedOn w:val="1"/>
    <w:next w:val="1"/>
    <w:link w:val="96"/>
    <w:qFormat/>
    <w:uiPriority w:val="0"/>
    <w:pPr>
      <w:spacing w:beforeLines="15" w:afterLines="30" w:line="360" w:lineRule="auto"/>
      <w:ind w:firstLine="200" w:firstLineChars="200"/>
      <w:jc w:val="left"/>
    </w:pPr>
    <w:rPr>
      <w:rFonts w:ascii="宋体" w:hAnsi="Courier New"/>
      <w:kern w:val="0"/>
      <w:sz w:val="24"/>
      <w:szCs w:val="32"/>
    </w:rPr>
  </w:style>
  <w:style w:type="paragraph" w:customStyle="1" w:styleId="68">
    <w:name w:val="_Style 60"/>
    <w:autoRedefine/>
    <w:hidden/>
    <w:semiHidden/>
    <w:qFormat/>
    <w:uiPriority w:val="99"/>
    <w:rPr>
      <w:rFonts w:ascii="Calibri" w:hAnsi="Calibri" w:eastAsia="宋体" w:cs="Times New Roman"/>
      <w:kern w:val="2"/>
      <w:sz w:val="21"/>
      <w:szCs w:val="24"/>
      <w:lang w:val="en-US" w:eastAsia="zh-CN" w:bidi="ar-SA"/>
    </w:rPr>
  </w:style>
  <w:style w:type="character" w:customStyle="1" w:styleId="69">
    <w:name w:val="标题 1 字符"/>
    <w:link w:val="4"/>
    <w:autoRedefine/>
    <w:qFormat/>
    <w:uiPriority w:val="0"/>
    <w:rPr>
      <w:rFonts w:eastAsia="黑体"/>
      <w:b/>
      <w:kern w:val="44"/>
      <w:sz w:val="28"/>
    </w:rPr>
  </w:style>
  <w:style w:type="character" w:customStyle="1" w:styleId="70">
    <w:name w:val="标题 2 字符"/>
    <w:link w:val="5"/>
    <w:autoRedefine/>
    <w:qFormat/>
    <w:uiPriority w:val="0"/>
    <w:rPr>
      <w:rFonts w:ascii="Calibri" w:hAnsi="Calibri" w:eastAsia="黑体"/>
      <w:b/>
      <w:sz w:val="28"/>
    </w:rPr>
  </w:style>
  <w:style w:type="character" w:customStyle="1" w:styleId="71">
    <w:name w:val="标题 3 字符"/>
    <w:link w:val="6"/>
    <w:autoRedefine/>
    <w:qFormat/>
    <w:uiPriority w:val="0"/>
    <w:rPr>
      <w:rFonts w:eastAsia="黑体"/>
      <w:b/>
      <w:sz w:val="28"/>
    </w:rPr>
  </w:style>
  <w:style w:type="character" w:customStyle="1" w:styleId="72">
    <w:name w:val="标题 5 字符"/>
    <w:link w:val="8"/>
    <w:autoRedefine/>
    <w:qFormat/>
    <w:uiPriority w:val="9"/>
    <w:rPr>
      <w:b/>
      <w:sz w:val="28"/>
      <w:szCs w:val="24"/>
    </w:rPr>
  </w:style>
  <w:style w:type="character" w:customStyle="1" w:styleId="73">
    <w:name w:val="正文文本 3 字符"/>
    <w:link w:val="14"/>
    <w:autoRedefine/>
    <w:qFormat/>
    <w:uiPriority w:val="0"/>
    <w:rPr>
      <w:kern w:val="2"/>
      <w:sz w:val="16"/>
      <w:szCs w:val="16"/>
    </w:rPr>
  </w:style>
  <w:style w:type="character" w:customStyle="1" w:styleId="74">
    <w:name w:val="标题 3 Char1"/>
    <w:autoRedefine/>
    <w:qFormat/>
    <w:uiPriority w:val="0"/>
    <w:rPr>
      <w:rFonts w:eastAsia="宋体"/>
      <w:b/>
      <w:bCs/>
      <w:kern w:val="2"/>
      <w:sz w:val="32"/>
      <w:szCs w:val="32"/>
      <w:lang w:val="en-US" w:eastAsia="zh-CN" w:bidi="ar-SA"/>
    </w:rPr>
  </w:style>
  <w:style w:type="character" w:customStyle="1" w:styleId="75">
    <w:name w:val="列表段落 字符"/>
    <w:link w:val="41"/>
    <w:autoRedefine/>
    <w:qFormat/>
    <w:uiPriority w:val="0"/>
    <w:rPr>
      <w:kern w:val="2"/>
      <w:sz w:val="21"/>
      <w:szCs w:val="24"/>
    </w:rPr>
  </w:style>
  <w:style w:type="character" w:customStyle="1" w:styleId="76">
    <w:name w:val="页脚 字符1"/>
    <w:link w:val="23"/>
    <w:autoRedefine/>
    <w:qFormat/>
    <w:uiPriority w:val="99"/>
    <w:rPr>
      <w:rFonts w:ascii="宋体"/>
      <w:kern w:val="2"/>
      <w:sz w:val="18"/>
    </w:rPr>
  </w:style>
  <w:style w:type="character" w:customStyle="1" w:styleId="77">
    <w:name w:val="正文文本 字符"/>
    <w:link w:val="2"/>
    <w:autoRedefine/>
    <w:qFormat/>
    <w:uiPriority w:val="0"/>
    <w:rPr>
      <w:kern w:val="2"/>
      <w:sz w:val="21"/>
      <w:szCs w:val="24"/>
    </w:rPr>
  </w:style>
  <w:style w:type="character" w:customStyle="1" w:styleId="78">
    <w:name w:val="dy_biao_content1"/>
    <w:autoRedefine/>
    <w:qFormat/>
    <w:uiPriority w:val="0"/>
    <w:rPr>
      <w:rFonts w:hint="eastAsia" w:ascii="宋体" w:hAnsi="宋体" w:eastAsia="宋体"/>
      <w:sz w:val="24"/>
      <w:szCs w:val="24"/>
    </w:rPr>
  </w:style>
  <w:style w:type="character" w:customStyle="1" w:styleId="79">
    <w:name w:val="纯文本 Char1"/>
    <w:autoRedefine/>
    <w:qFormat/>
    <w:uiPriority w:val="0"/>
    <w:rPr>
      <w:rFonts w:ascii="宋体" w:eastAsia="宋体"/>
      <w:kern w:val="2"/>
      <w:sz w:val="21"/>
      <w:lang w:val="en-US" w:eastAsia="zh-CN" w:bidi="ar-SA"/>
    </w:rPr>
  </w:style>
  <w:style w:type="character" w:customStyle="1" w:styleId="80">
    <w:name w:val="标题 3 Char"/>
    <w:qFormat/>
    <w:uiPriority w:val="0"/>
    <w:rPr>
      <w:rFonts w:eastAsia="宋体"/>
      <w:b/>
      <w:bCs/>
      <w:kern w:val="2"/>
      <w:sz w:val="32"/>
      <w:szCs w:val="32"/>
      <w:lang w:val="en-US" w:eastAsia="zh-CN" w:bidi="ar-SA"/>
    </w:rPr>
  </w:style>
  <w:style w:type="character" w:customStyle="1" w:styleId="81">
    <w:name w:val="标题 字符"/>
    <w:link w:val="30"/>
    <w:autoRedefine/>
    <w:qFormat/>
    <w:uiPriority w:val="0"/>
    <w:rPr>
      <w:rFonts w:ascii="Cambria" w:hAnsi="Cambria" w:cs="Times New Roman"/>
      <w:b/>
      <w:bCs/>
      <w:kern w:val="2"/>
      <w:sz w:val="32"/>
      <w:szCs w:val="32"/>
    </w:rPr>
  </w:style>
  <w:style w:type="character" w:customStyle="1" w:styleId="82">
    <w:name w:val="grame"/>
    <w:qFormat/>
    <w:uiPriority w:val="0"/>
  </w:style>
  <w:style w:type="character" w:customStyle="1" w:styleId="83">
    <w:name w:val="纯文本 字符2"/>
    <w:link w:val="19"/>
    <w:autoRedefine/>
    <w:qFormat/>
    <w:uiPriority w:val="0"/>
    <w:rPr>
      <w:rFonts w:ascii="宋体" w:hAnsi="宋体"/>
      <w:kern w:val="2"/>
      <w:sz w:val="24"/>
      <w:szCs w:val="24"/>
    </w:rPr>
  </w:style>
  <w:style w:type="character" w:customStyle="1" w:styleId="84">
    <w:name w:val="_Style 76"/>
    <w:autoRedefine/>
    <w:qFormat/>
    <w:uiPriority w:val="0"/>
    <w:rPr>
      <w:rFonts w:eastAsia="仿宋_GB2312"/>
      <w:iCs/>
      <w:color w:val="auto"/>
      <w:sz w:val="24"/>
    </w:rPr>
  </w:style>
  <w:style w:type="character" w:customStyle="1" w:styleId="85">
    <w:name w:val="孙普文字 Char"/>
    <w:autoRedefine/>
    <w:qFormat/>
    <w:uiPriority w:val="0"/>
    <w:rPr>
      <w:rFonts w:ascii="宋体" w:hAnsi="Times New Roman" w:eastAsia="宋体" w:cs="Times New Roman"/>
      <w:szCs w:val="20"/>
    </w:rPr>
  </w:style>
  <w:style w:type="character" w:customStyle="1" w:styleId="86">
    <w:name w:val="日期 字符"/>
    <w:link w:val="20"/>
    <w:autoRedefine/>
    <w:qFormat/>
    <w:uiPriority w:val="99"/>
    <w:rPr>
      <w:kern w:val="2"/>
      <w:sz w:val="21"/>
      <w:szCs w:val="24"/>
    </w:rPr>
  </w:style>
  <w:style w:type="character" w:customStyle="1" w:styleId="87">
    <w:name w:val="正文文本缩进 2 字符"/>
    <w:link w:val="21"/>
    <w:autoRedefine/>
    <w:qFormat/>
    <w:uiPriority w:val="0"/>
    <w:rPr>
      <w:kern w:val="2"/>
      <w:sz w:val="21"/>
      <w:szCs w:val="24"/>
    </w:rPr>
  </w:style>
  <w:style w:type="character" w:customStyle="1" w:styleId="88">
    <w:name w:val="正文缩进 字符"/>
    <w:link w:val="10"/>
    <w:autoRedefine/>
    <w:qFormat/>
    <w:uiPriority w:val="0"/>
  </w:style>
  <w:style w:type="character" w:customStyle="1" w:styleId="89">
    <w:name w:val="Date Char Char"/>
    <w:link w:val="42"/>
    <w:autoRedefine/>
    <w:qFormat/>
    <w:uiPriority w:val="0"/>
    <w:rPr>
      <w:kern w:val="2"/>
      <w:sz w:val="21"/>
    </w:rPr>
  </w:style>
  <w:style w:type="character" w:customStyle="1" w:styleId="90">
    <w:name w:val="页脚 字符"/>
    <w:autoRedefine/>
    <w:qFormat/>
    <w:uiPriority w:val="0"/>
    <w:rPr>
      <w:kern w:val="2"/>
      <w:sz w:val="18"/>
      <w:szCs w:val="18"/>
    </w:rPr>
  </w:style>
  <w:style w:type="character" w:customStyle="1" w:styleId="91">
    <w:name w:val="正文文本 2 字符"/>
    <w:link w:val="28"/>
    <w:autoRedefine/>
    <w:qFormat/>
    <w:uiPriority w:val="0"/>
    <w:rPr>
      <w:kern w:val="2"/>
      <w:sz w:val="21"/>
      <w:szCs w:val="24"/>
    </w:rPr>
  </w:style>
  <w:style w:type="character" w:customStyle="1" w:styleId="92">
    <w:name w:val="承康医疗 Char"/>
    <w:link w:val="43"/>
    <w:autoRedefine/>
    <w:qFormat/>
    <w:uiPriority w:val="0"/>
    <w:rPr>
      <w:rFonts w:ascii="微软雅黑" w:hAnsi="微软雅黑" w:eastAsia="微软雅黑"/>
      <w:sz w:val="21"/>
      <w:szCs w:val="21"/>
    </w:rPr>
  </w:style>
  <w:style w:type="character" w:customStyle="1" w:styleId="93">
    <w:name w:val="纯文本 字符1"/>
    <w:autoRedefine/>
    <w:qFormat/>
    <w:uiPriority w:val="0"/>
    <w:rPr>
      <w:rFonts w:ascii="宋体" w:eastAsia="宋体"/>
      <w:kern w:val="2"/>
      <w:sz w:val="21"/>
      <w:lang w:val="en-US" w:eastAsia="zh-CN" w:bidi="ar-SA"/>
    </w:rPr>
  </w:style>
  <w:style w:type="character" w:customStyle="1" w:styleId="94">
    <w:name w:val="纯文本 Char2"/>
    <w:autoRedefine/>
    <w:qFormat/>
    <w:uiPriority w:val="0"/>
    <w:rPr>
      <w:rFonts w:ascii="宋体" w:hAnsi="Times New Roman" w:eastAsia="宋体" w:cs="Times New Roman"/>
      <w:kern w:val="2"/>
      <w:sz w:val="21"/>
      <w:lang w:val="en-US" w:eastAsia="zh-CN" w:bidi="ar-SA"/>
    </w:rPr>
  </w:style>
  <w:style w:type="character" w:customStyle="1" w:styleId="95">
    <w:name w:val="纯文本 字符"/>
    <w:autoRedefine/>
    <w:qFormat/>
    <w:uiPriority w:val="0"/>
    <w:rPr>
      <w:rFonts w:ascii="宋体" w:hAnsi="Courier New"/>
      <w:kern w:val="2"/>
      <w:sz w:val="21"/>
      <w:szCs w:val="21"/>
    </w:rPr>
  </w:style>
  <w:style w:type="character" w:customStyle="1" w:styleId="96">
    <w:name w:val="_正文段落 Char"/>
    <w:link w:val="67"/>
    <w:autoRedefine/>
    <w:qFormat/>
    <w:uiPriority w:val="0"/>
    <w:rPr>
      <w:rFonts w:ascii="宋体" w:hAnsi="Courier New"/>
      <w:sz w:val="24"/>
      <w:szCs w:val="32"/>
    </w:rPr>
  </w:style>
  <w:style w:type="character" w:customStyle="1" w:styleId="97">
    <w:name w:val="A6"/>
    <w:autoRedefine/>
    <w:qFormat/>
    <w:uiPriority w:val="99"/>
    <w:rPr>
      <w:rFonts w:cs="MetaPlusNormal-Caps"/>
      <w:color w:val="000000"/>
      <w:sz w:val="16"/>
      <w:szCs w:val="16"/>
    </w:rPr>
  </w:style>
  <w:style w:type="character" w:customStyle="1" w:styleId="98">
    <w:name w:val="批注文字 字符"/>
    <w:link w:val="13"/>
    <w:autoRedefine/>
    <w:qFormat/>
    <w:uiPriority w:val="99"/>
    <w:rPr>
      <w:kern w:val="2"/>
      <w:sz w:val="21"/>
      <w:szCs w:val="24"/>
    </w:rPr>
  </w:style>
  <w:style w:type="character" w:customStyle="1" w:styleId="99">
    <w:name w:val="批注主题 字符"/>
    <w:link w:val="31"/>
    <w:autoRedefine/>
    <w:qFormat/>
    <w:uiPriority w:val="0"/>
    <w:rPr>
      <w:b/>
      <w:bCs/>
      <w:kern w:val="2"/>
      <w:sz w:val="21"/>
      <w:szCs w:val="24"/>
    </w:rPr>
  </w:style>
  <w:style w:type="character" w:customStyle="1" w:styleId="100">
    <w:name w:val="Default Char"/>
    <w:link w:val="46"/>
    <w:autoRedefine/>
    <w:qFormat/>
    <w:uiPriority w:val="0"/>
    <w:rPr>
      <w:rFonts w:ascii="宋体"/>
      <w:color w:val="000000"/>
      <w:sz w:val="24"/>
      <w:szCs w:val="24"/>
      <w:lang w:bidi="ar-SA"/>
    </w:rPr>
  </w:style>
  <w:style w:type="character" w:customStyle="1" w:styleId="101">
    <w:name w:val="正文文本 字符1"/>
    <w:autoRedefine/>
    <w:qFormat/>
    <w:uiPriority w:val="0"/>
    <w:rPr>
      <w:kern w:val="2"/>
      <w:sz w:val="21"/>
      <w:szCs w:val="24"/>
    </w:rPr>
  </w:style>
  <w:style w:type="character" w:customStyle="1" w:styleId="102">
    <w:name w:val="A10"/>
    <w:autoRedefine/>
    <w:qFormat/>
    <w:uiPriority w:val="99"/>
    <w:rPr>
      <w:rFonts w:ascii="Times New Roman" w:hAnsi="Times New Roman" w:cs="Times New Roman"/>
      <w:color w:val="000000"/>
      <w:sz w:val="11"/>
      <w:szCs w:val="11"/>
    </w:rPr>
  </w:style>
  <w:style w:type="character" w:customStyle="1" w:styleId="103">
    <w:name w:val="font41"/>
    <w:autoRedefine/>
    <w:qFormat/>
    <w:uiPriority w:val="0"/>
    <w:rPr>
      <w:rFonts w:hint="default" w:ascii="Times New Roman" w:hAnsi="Times New Roman" w:cs="Times New Roman"/>
      <w:color w:val="000000"/>
      <w:sz w:val="20"/>
      <w:szCs w:val="20"/>
      <w:u w:val="none"/>
    </w:rPr>
  </w:style>
  <w:style w:type="character" w:customStyle="1" w:styleId="104">
    <w:name w:val="正文文本 3 字符1"/>
    <w:autoRedefine/>
    <w:qFormat/>
    <w:uiPriority w:val="0"/>
    <w:rPr>
      <w:kern w:val="2"/>
      <w:sz w:val="16"/>
      <w:szCs w:val="16"/>
    </w:rPr>
  </w:style>
  <w:style w:type="character" w:customStyle="1" w:styleId="105">
    <w:name w:val="页眉 字符"/>
    <w:link w:val="24"/>
    <w:autoRedefine/>
    <w:qFormat/>
    <w:uiPriority w:val="0"/>
    <w:rPr>
      <w:kern w:val="2"/>
      <w:sz w:val="18"/>
      <w:szCs w:val="18"/>
    </w:rPr>
  </w:style>
  <w:style w:type="character" w:customStyle="1" w:styleId="106">
    <w:name w:val="列出段落 字符1"/>
    <w:autoRedefine/>
    <w:qFormat/>
    <w:uiPriority w:val="0"/>
    <w:rPr>
      <w:kern w:val="2"/>
      <w:sz w:val="21"/>
      <w:szCs w:val="24"/>
    </w:rPr>
  </w:style>
  <w:style w:type="character" w:customStyle="1" w:styleId="107">
    <w:name w:val="font01"/>
    <w:autoRedefine/>
    <w:qFormat/>
    <w:uiPriority w:val="0"/>
    <w:rPr>
      <w:rFonts w:hint="eastAsia" w:ascii="宋体" w:hAnsi="宋体" w:eastAsia="宋体" w:cs="宋体"/>
      <w:color w:val="000000"/>
      <w:sz w:val="24"/>
      <w:szCs w:val="24"/>
      <w:u w:val="none"/>
    </w:rPr>
  </w:style>
  <w:style w:type="character" w:customStyle="1" w:styleId="108">
    <w:name w:val="s1"/>
    <w:autoRedefine/>
    <w:qFormat/>
    <w:uiPriority w:val="0"/>
    <w:rPr>
      <w:rFonts w:ascii="Helvetica" w:hAnsi="Helvetica" w:eastAsia="Helvetica" w:cs="Helvetica"/>
      <w:sz w:val="24"/>
      <w:szCs w:val="24"/>
    </w:rPr>
  </w:style>
  <w:style w:type="character" w:customStyle="1" w:styleId="109">
    <w:name w:val="font71"/>
    <w:autoRedefine/>
    <w:qFormat/>
    <w:uiPriority w:val="0"/>
    <w:rPr>
      <w:rFonts w:hint="eastAsia" w:ascii="宋体" w:hAnsi="宋体" w:eastAsia="宋体" w:cs="宋体"/>
      <w:color w:val="000000"/>
      <w:sz w:val="23"/>
      <w:szCs w:val="23"/>
      <w:u w:val="none"/>
    </w:rPr>
  </w:style>
  <w:style w:type="character" w:customStyle="1" w:styleId="110">
    <w:name w:val="font31"/>
    <w:autoRedefine/>
    <w:qFormat/>
    <w:uiPriority w:val="0"/>
    <w:rPr>
      <w:rFonts w:hint="eastAsia" w:ascii="宋体" w:hAnsi="宋体" w:eastAsia="宋体" w:cs="宋体"/>
      <w:color w:val="000000"/>
      <w:sz w:val="20"/>
      <w:szCs w:val="20"/>
      <w:u w:val="none"/>
    </w:rPr>
  </w:style>
  <w:style w:type="character" w:customStyle="1" w:styleId="111">
    <w:name w:val="def"/>
    <w:autoRedefine/>
    <w:qFormat/>
    <w:uiPriority w:val="0"/>
  </w:style>
  <w:style w:type="character" w:customStyle="1" w:styleId="112">
    <w:name w:val="页眉 Char"/>
    <w:autoRedefine/>
    <w:qFormat/>
    <w:uiPriority w:val="99"/>
    <w:rPr>
      <w:sz w:val="18"/>
      <w:szCs w:val="18"/>
    </w:rPr>
  </w:style>
  <w:style w:type="character" w:customStyle="1" w:styleId="113">
    <w:name w:val="font51"/>
    <w:autoRedefine/>
    <w:qFormat/>
    <w:uiPriority w:val="0"/>
    <w:rPr>
      <w:rFonts w:hint="default" w:ascii="Arial" w:hAnsi="Arial" w:cs="Arial"/>
      <w:color w:val="000000"/>
      <w:sz w:val="15"/>
      <w:szCs w:val="15"/>
      <w:u w:val="none"/>
    </w:rPr>
  </w:style>
  <w:style w:type="character" w:customStyle="1" w:styleId="114">
    <w:name w:val="不明显强调1"/>
    <w:autoRedefine/>
    <w:qFormat/>
    <w:uiPriority w:val="0"/>
    <w:rPr>
      <w:rFonts w:eastAsia="仿宋_GB2312"/>
      <w:iCs/>
      <w:color w:val="auto"/>
      <w:sz w:val="24"/>
    </w:rPr>
  </w:style>
  <w:style w:type="character" w:customStyle="1" w:styleId="115">
    <w:name w:val="font61"/>
    <w:autoRedefine/>
    <w:qFormat/>
    <w:uiPriority w:val="0"/>
    <w:rPr>
      <w:rFonts w:hint="eastAsia" w:ascii="宋体" w:hAnsi="宋体" w:eastAsia="宋体" w:cs="宋体"/>
      <w:color w:val="000000"/>
      <w:sz w:val="20"/>
      <w:szCs w:val="20"/>
      <w:u w:val="none"/>
    </w:rPr>
  </w:style>
  <w:style w:type="character" w:customStyle="1" w:styleId="116">
    <w:name w:val="font101"/>
    <w:autoRedefine/>
    <w:qFormat/>
    <w:uiPriority w:val="0"/>
    <w:rPr>
      <w:rFonts w:hint="eastAsia" w:ascii="宋体" w:hAnsi="宋体" w:eastAsia="宋体" w:cs="宋体"/>
      <w:b/>
      <w:color w:val="000000"/>
      <w:sz w:val="36"/>
      <w:szCs w:val="36"/>
      <w:u w:val="none"/>
    </w:rPr>
  </w:style>
  <w:style w:type="character" w:customStyle="1" w:styleId="117">
    <w:name w:val="正文文本缩进 2 字符1"/>
    <w:autoRedefine/>
    <w:qFormat/>
    <w:uiPriority w:val="0"/>
    <w:rPr>
      <w:kern w:val="2"/>
      <w:sz w:val="21"/>
      <w:szCs w:val="24"/>
    </w:rPr>
  </w:style>
  <w:style w:type="character" w:customStyle="1" w:styleId="118">
    <w:name w:val="font21"/>
    <w:autoRedefine/>
    <w:qFormat/>
    <w:uiPriority w:val="0"/>
    <w:rPr>
      <w:rFonts w:hint="eastAsia" w:ascii="宋体" w:hAnsi="宋体" w:eastAsia="宋体" w:cs="宋体"/>
      <w:color w:val="000000"/>
      <w:sz w:val="20"/>
      <w:szCs w:val="20"/>
      <w:u w:val="none"/>
    </w:rPr>
  </w:style>
  <w:style w:type="character" w:customStyle="1" w:styleId="119">
    <w:name w:val="font11"/>
    <w:autoRedefine/>
    <w:qFormat/>
    <w:uiPriority w:val="0"/>
    <w:rPr>
      <w:rFonts w:hint="default" w:ascii="Times New Roman" w:hAnsi="Times New Roman" w:cs="Times New Roman"/>
      <w:color w:val="000000"/>
      <w:sz w:val="24"/>
      <w:szCs w:val="24"/>
      <w:u w:val="none"/>
    </w:rPr>
  </w:style>
  <w:style w:type="character" w:customStyle="1" w:styleId="120">
    <w:name w:val="日期 字符1"/>
    <w:autoRedefine/>
    <w:qFormat/>
    <w:uiPriority w:val="0"/>
    <w:rPr>
      <w:kern w:val="2"/>
      <w:sz w:val="21"/>
      <w:szCs w:val="24"/>
    </w:rPr>
  </w:style>
  <w:style w:type="character" w:customStyle="1" w:styleId="121">
    <w:name w:val="A11"/>
    <w:autoRedefine/>
    <w:qFormat/>
    <w:uiPriority w:val="99"/>
    <w:rPr>
      <w:rFonts w:ascii="宋体" w:eastAsia="宋体" w:cs="宋体"/>
      <w:color w:val="000000"/>
      <w:sz w:val="20"/>
      <w:szCs w:val="20"/>
      <w:u w:val="single"/>
    </w:rPr>
  </w:style>
  <w:style w:type="character" w:customStyle="1" w:styleId="122">
    <w:name w:val="正文文本 2 字符1"/>
    <w:autoRedefine/>
    <w:qFormat/>
    <w:uiPriority w:val="0"/>
    <w:rPr>
      <w:kern w:val="2"/>
      <w:sz w:val="21"/>
      <w:szCs w:val="24"/>
    </w:rPr>
  </w:style>
  <w:style w:type="paragraph" w:customStyle="1" w:styleId="123">
    <w:name w:val="xl30"/>
    <w:basedOn w:val="1"/>
    <w:autoRedefine/>
    <w:qFormat/>
    <w:uiPriority w:val="0"/>
    <w:pPr>
      <w:widowControl/>
      <w:pBdr>
        <w:bottom w:val="single" w:color="auto" w:sz="4" w:space="0"/>
      </w:pBdr>
      <w:spacing w:before="100" w:beforeAutospacing="1" w:after="100" w:afterAutospacing="1"/>
      <w:jc w:val="center"/>
    </w:pPr>
    <w:rPr>
      <w:rFonts w:ascii="Arial Unicode MS" w:hAnsi="Arial Unicode MS" w:eastAsia="Arial Unicode MS" w:cs="Arial Unicode MS"/>
      <w:kern w:val="0"/>
      <w:sz w:val="22"/>
      <w:szCs w:val="22"/>
      <w:lang w:eastAsia="en-US"/>
    </w:rPr>
  </w:style>
  <w:style w:type="paragraph" w:customStyle="1" w:styleId="124">
    <w:name w:val="Char Char"/>
    <w:basedOn w:val="1"/>
    <w:autoRedefine/>
    <w:qFormat/>
    <w:uiPriority w:val="0"/>
    <w:pPr>
      <w:widowControl/>
      <w:spacing w:after="160" w:line="240" w:lineRule="exact"/>
      <w:jc w:val="left"/>
    </w:pPr>
    <w:rPr>
      <w:rFonts w:ascii="Times New Roman" w:hAnsi="Times New Roman"/>
      <w:kern w:val="0"/>
      <w:sz w:val="20"/>
      <w:szCs w:val="20"/>
    </w:rPr>
  </w:style>
  <w:style w:type="paragraph" w:customStyle="1" w:styleId="125">
    <w:name w:val="Pa144"/>
    <w:basedOn w:val="46"/>
    <w:next w:val="46"/>
    <w:autoRedefine/>
    <w:qFormat/>
    <w:uiPriority w:val="99"/>
    <w:pPr>
      <w:spacing w:line="201" w:lineRule="atLeast"/>
    </w:pPr>
    <w:rPr>
      <w:rFonts w:ascii="汉仪大黑简K艵." w:eastAsia="汉仪大黑简K艵."/>
      <w:color w:val="auto"/>
    </w:rPr>
  </w:style>
  <w:style w:type="paragraph" w:customStyle="1" w:styleId="126">
    <w:name w:val="Char2 Char Char Char Char Char Char1"/>
    <w:basedOn w:val="11"/>
    <w:autoRedefine/>
    <w:qFormat/>
    <w:uiPriority w:val="0"/>
    <w:rPr>
      <w:rFonts w:ascii="Tahoma" w:hAnsi="Tahoma"/>
      <w:sz w:val="24"/>
    </w:rPr>
  </w:style>
  <w:style w:type="paragraph" w:customStyle="1" w:styleId="127">
    <w:name w:val="Pa10"/>
    <w:basedOn w:val="46"/>
    <w:next w:val="46"/>
    <w:autoRedefine/>
    <w:qFormat/>
    <w:uiPriority w:val="0"/>
    <w:pPr>
      <w:spacing w:line="161" w:lineRule="atLeast"/>
    </w:pPr>
    <w:rPr>
      <w:rFonts w:ascii="Akzidenz Grotesk BQ" w:hAnsi="Akzidenz Grotesk BQ"/>
      <w:color w:val="auto"/>
    </w:rPr>
  </w:style>
  <w:style w:type="paragraph" w:customStyle="1" w:styleId="128">
    <w:name w:val="Pa9"/>
    <w:basedOn w:val="46"/>
    <w:next w:val="46"/>
    <w:autoRedefine/>
    <w:qFormat/>
    <w:uiPriority w:val="0"/>
    <w:pPr>
      <w:spacing w:before="120" w:line="161" w:lineRule="atLeast"/>
    </w:pPr>
    <w:rPr>
      <w:rFonts w:ascii="Akzidenz Grotesk BQ" w:hAnsi="Akzidenz Grotesk BQ"/>
      <w:color w:val="auto"/>
    </w:rPr>
  </w:style>
  <w:style w:type="paragraph" w:customStyle="1" w:styleId="129">
    <w:name w:val="正文1"/>
    <w:autoRedefine/>
    <w:qFormat/>
    <w:uiPriority w:val="0"/>
    <w:rPr>
      <w:rFonts w:ascii="Helvetica" w:hAnsi="Helvetica" w:eastAsia="Arial Unicode MS" w:cs="Arial Unicode MS"/>
      <w:color w:val="000000"/>
      <w:sz w:val="22"/>
      <w:szCs w:val="22"/>
      <w:lang w:val="en-US" w:eastAsia="zh-CN" w:bidi="ar-SA"/>
    </w:rPr>
  </w:style>
  <w:style w:type="paragraph" w:customStyle="1" w:styleId="130">
    <w:name w:val="日期2"/>
    <w:basedOn w:val="1"/>
    <w:next w:val="1"/>
    <w:autoRedefine/>
    <w:qFormat/>
    <w:uiPriority w:val="0"/>
    <w:rPr>
      <w:rFonts w:ascii="Times New Roman" w:hAnsi="Times New Roman"/>
      <w:szCs w:val="20"/>
    </w:rPr>
  </w:style>
  <w:style w:type="paragraph" w:customStyle="1" w:styleId="131">
    <w:name w:val="彩色列表 - 强调文字颜色 11"/>
    <w:basedOn w:val="1"/>
    <w:autoRedefine/>
    <w:qFormat/>
    <w:uiPriority w:val="34"/>
    <w:pPr>
      <w:ind w:firstLine="420" w:firstLineChars="200"/>
    </w:pPr>
    <w:rPr>
      <w:rFonts w:ascii="Cambria" w:hAnsi="Cambria"/>
      <w:sz w:val="24"/>
    </w:rPr>
  </w:style>
  <w:style w:type="paragraph" w:customStyle="1" w:styleId="132">
    <w:name w:val="正文 A"/>
    <w:autoRedefine/>
    <w:qFormat/>
    <w:uiPriority w:val="0"/>
    <w:pPr>
      <w:widowControl w:val="0"/>
      <w:jc w:val="both"/>
    </w:pPr>
    <w:rPr>
      <w:rFonts w:ascii="Times New Roman" w:hAnsi="Times New Roman" w:eastAsia="Calibri" w:cs="Calibri"/>
      <w:color w:val="000000"/>
      <w:kern w:val="2"/>
      <w:sz w:val="21"/>
      <w:szCs w:val="21"/>
      <w:u w:color="000000"/>
      <w:lang w:val="en-US" w:eastAsia="zh-CN" w:bidi="ar-SA"/>
    </w:rPr>
  </w:style>
  <w:style w:type="paragraph" w:customStyle="1" w:styleId="133">
    <w:name w:val="p1"/>
    <w:basedOn w:val="1"/>
    <w:autoRedefine/>
    <w:qFormat/>
    <w:uiPriority w:val="0"/>
    <w:pPr>
      <w:jc w:val="left"/>
    </w:pPr>
    <w:rPr>
      <w:kern w:val="0"/>
      <w:szCs w:val="22"/>
    </w:rPr>
  </w:style>
  <w:style w:type="paragraph" w:customStyle="1" w:styleId="134">
    <w:name w:val="样式4"/>
    <w:basedOn w:val="1"/>
    <w:autoRedefine/>
    <w:qFormat/>
    <w:uiPriority w:val="0"/>
    <w:pPr>
      <w:numPr>
        <w:ilvl w:val="0"/>
        <w:numId w:val="2"/>
      </w:numPr>
      <w:tabs>
        <w:tab w:val="left" w:pos="360"/>
      </w:tabs>
      <w:ind w:left="284" w:hanging="284"/>
    </w:pPr>
    <w:rPr>
      <w:szCs w:val="22"/>
    </w:rPr>
  </w:style>
  <w:style w:type="paragraph" w:customStyle="1" w:styleId="135">
    <w:name w:val="手册第二级"/>
    <w:basedOn w:val="50"/>
    <w:autoRedefine/>
    <w:qFormat/>
    <w:uiPriority w:val="0"/>
    <w:pPr>
      <w:widowControl/>
      <w:numPr>
        <w:ilvl w:val="1"/>
        <w:numId w:val="3"/>
      </w:numPr>
      <w:tabs>
        <w:tab w:val="left" w:pos="1021"/>
      </w:tabs>
      <w:ind w:left="1021" w:firstLine="0" w:firstLineChars="0"/>
      <w:jc w:val="left"/>
    </w:pPr>
    <w:rPr>
      <w:rFonts w:eastAsia="仿宋_GB2312"/>
      <w:b/>
      <w:sz w:val="30"/>
      <w:szCs w:val="22"/>
    </w:rPr>
  </w:style>
  <w:style w:type="paragraph" w:customStyle="1" w:styleId="136">
    <w:name w:val="列出段落2"/>
    <w:basedOn w:val="1"/>
    <w:autoRedefine/>
    <w:qFormat/>
    <w:uiPriority w:val="0"/>
    <w:pPr>
      <w:ind w:firstLine="420" w:firstLineChars="200"/>
    </w:pPr>
    <w:rPr>
      <w:rFonts w:ascii="Times New Roman" w:hAnsi="Times New Roman"/>
    </w:rPr>
  </w:style>
  <w:style w:type="paragraph" w:customStyle="1" w:styleId="137">
    <w:name w:val="列出段落3"/>
    <w:basedOn w:val="1"/>
    <w:autoRedefine/>
    <w:qFormat/>
    <w:uiPriority w:val="34"/>
    <w:pPr>
      <w:widowControl/>
      <w:ind w:left="708"/>
      <w:jc w:val="left"/>
    </w:pPr>
    <w:rPr>
      <w:rFonts w:ascii="RotisSansSerif" w:hAnsi="RotisSansSerif" w:cs="Arial"/>
      <w:kern w:val="0"/>
      <w:sz w:val="24"/>
      <w:lang w:val="de-DE"/>
    </w:rPr>
  </w:style>
  <w:style w:type="paragraph" w:customStyle="1" w:styleId="138">
    <w:name w:val="Pa7"/>
    <w:basedOn w:val="46"/>
    <w:next w:val="46"/>
    <w:autoRedefine/>
    <w:qFormat/>
    <w:uiPriority w:val="99"/>
    <w:pPr>
      <w:spacing w:line="201" w:lineRule="atLeast"/>
    </w:pPr>
    <w:rPr>
      <w:rFonts w:ascii="汉仪大黑简K艵." w:eastAsia="汉仪大黑简K艵."/>
      <w:color w:val="auto"/>
    </w:rPr>
  </w:style>
  <w:style w:type="paragraph" w:customStyle="1" w:styleId="139">
    <w:name w:val="彩色列表 - 强调文字颜色 12"/>
    <w:basedOn w:val="1"/>
    <w:autoRedefine/>
    <w:qFormat/>
    <w:uiPriority w:val="34"/>
    <w:pPr>
      <w:ind w:firstLine="420" w:firstLineChars="200"/>
    </w:pPr>
    <w:rPr>
      <w:szCs w:val="22"/>
    </w:rPr>
  </w:style>
  <w:style w:type="character" w:customStyle="1" w:styleId="140">
    <w:name w:val="apple-style-span"/>
    <w:autoRedefine/>
    <w:qFormat/>
    <w:uiPriority w:val="0"/>
  </w:style>
  <w:style w:type="character" w:customStyle="1" w:styleId="141">
    <w:name w:val="正文文本 Char1"/>
    <w:autoRedefine/>
    <w:qFormat/>
    <w:uiPriority w:val="0"/>
    <w:rPr>
      <w:kern w:val="2"/>
      <w:sz w:val="21"/>
      <w:szCs w:val="24"/>
    </w:rPr>
  </w:style>
  <w:style w:type="character" w:customStyle="1" w:styleId="142">
    <w:name w:val="正文缩进 Char"/>
    <w:autoRedefine/>
    <w:qFormat/>
    <w:uiPriority w:val="0"/>
  </w:style>
  <w:style w:type="character" w:customStyle="1" w:styleId="143">
    <w:name w:val="纯文本 Char3"/>
    <w:autoRedefine/>
    <w:qFormat/>
    <w:uiPriority w:val="0"/>
    <w:rPr>
      <w:rFonts w:ascii="宋体" w:eastAsia="宋体"/>
      <w:kern w:val="2"/>
      <w:sz w:val="21"/>
      <w:lang w:val="en-US" w:eastAsia="zh-CN" w:bidi="ar-SA"/>
    </w:rPr>
  </w:style>
  <w:style w:type="character" w:customStyle="1" w:styleId="144">
    <w:name w:val="NormalCharacter"/>
    <w:autoRedefine/>
    <w:qFormat/>
    <w:uiPriority w:val="0"/>
  </w:style>
  <w:style w:type="character" w:customStyle="1" w:styleId="145">
    <w:name w:val="未处理的提及1"/>
    <w:basedOn w:val="35"/>
    <w:autoRedefine/>
    <w:semiHidden/>
    <w:unhideWhenUsed/>
    <w:qFormat/>
    <w:uiPriority w:val="99"/>
    <w:rPr>
      <w:color w:val="605E5C"/>
      <w:shd w:val="clear" w:color="auto" w:fill="E1DFDD"/>
    </w:rPr>
  </w:style>
  <w:style w:type="character" w:customStyle="1" w:styleId="146">
    <w:name w:val="HTML 地址 字符"/>
    <w:basedOn w:val="35"/>
    <w:link w:val="17"/>
    <w:autoRedefine/>
    <w:qFormat/>
    <w:uiPriority w:val="0"/>
    <w:rPr>
      <w:rFonts w:ascii="Calibri" w:hAnsi="Calibri" w:cstheme="minorBidi"/>
      <w:kern w:val="2"/>
      <w:sz w:val="24"/>
      <w:szCs w:val="22"/>
    </w:rPr>
  </w:style>
  <w:style w:type="character" w:customStyle="1" w:styleId="147">
    <w:name w:val="纯文本 Char"/>
    <w:autoRedefine/>
    <w:qFormat/>
    <w:uiPriority w:val="0"/>
    <w:rPr>
      <w:rFonts w:ascii="宋体" w:eastAsia="宋体"/>
      <w:kern w:val="2"/>
      <w:sz w:val="21"/>
      <w:lang w:val="en-US" w:eastAsia="zh-CN" w:bidi="ar-SA"/>
    </w:rPr>
  </w:style>
  <w:style w:type="paragraph" w:customStyle="1" w:styleId="148">
    <w:name w:val="表格内容"/>
    <w:basedOn w:val="1"/>
    <w:autoRedefine/>
    <w:qFormat/>
    <w:uiPriority w:val="0"/>
    <w:pPr>
      <w:suppressLineNumbers/>
    </w:pPr>
    <w:rPr>
      <w:rFonts w:eastAsia="新宋体"/>
      <w:lang w:bidi="hi-IN"/>
    </w:rPr>
  </w:style>
  <w:style w:type="table" w:customStyle="1" w:styleId="149">
    <w:name w:val="浅色底纹1"/>
    <w:basedOn w:val="33"/>
    <w:autoRedefine/>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paragraph" w:customStyle="1" w:styleId="150">
    <w:name w:val="p15"/>
    <w:basedOn w:val="1"/>
    <w:autoRedefine/>
    <w:qFormat/>
    <w:uiPriority w:val="0"/>
    <w:rPr>
      <w:rFonts w:ascii="Arial Unicode MS" w:hAnsi="Arial Unicode MS"/>
      <w:color w:val="000000"/>
      <w:sz w:val="24"/>
    </w:rPr>
  </w:style>
  <w:style w:type="character" w:customStyle="1" w:styleId="151">
    <w:name w:val="fontstyle01"/>
    <w:basedOn w:val="35"/>
    <w:autoRedefine/>
    <w:qFormat/>
    <w:uiPriority w:val="0"/>
    <w:rPr>
      <w:rFonts w:hint="default" w:ascii="Tahoma" w:hAnsi="Tahoma" w:cs="Tahoma"/>
      <w:color w:val="000000"/>
      <w:sz w:val="22"/>
      <w:szCs w:val="22"/>
    </w:rPr>
  </w:style>
  <w:style w:type="character" w:customStyle="1" w:styleId="152">
    <w:name w:val="fontstyle11"/>
    <w:basedOn w:val="35"/>
    <w:autoRedefine/>
    <w:qFormat/>
    <w:uiPriority w:val="0"/>
    <w:rPr>
      <w:rFonts w:hint="default" w:ascii="MicrosoftYaHei" w:hAnsi="MicrosoftYaHei"/>
      <w:color w:val="000000"/>
      <w:sz w:val="22"/>
      <w:szCs w:val="22"/>
    </w:rPr>
  </w:style>
  <w:style w:type="character" w:customStyle="1" w:styleId="153">
    <w:name w:val="正文文本缩进 字符"/>
    <w:link w:val="15"/>
    <w:autoRedefine/>
    <w:qFormat/>
    <w:uiPriority w:val="0"/>
    <w:rPr>
      <w:rFonts w:ascii="Calibri" w:hAnsi="Calibri" w:eastAsia="宋体"/>
      <w:kern w:val="2"/>
      <w:sz w:val="21"/>
      <w:szCs w:val="24"/>
    </w:rPr>
  </w:style>
  <w:style w:type="character" w:customStyle="1" w:styleId="154">
    <w:name w:val="标题 1 Char1"/>
    <w:autoRedefine/>
    <w:qFormat/>
    <w:uiPriority w:val="0"/>
    <w:rPr>
      <w:rFonts w:ascii="Times New Roman" w:hAnsi="Times New Roman" w:eastAsia="宋体" w:cs="Times New Roman"/>
      <w:b/>
      <w:bCs/>
      <w:kern w:val="44"/>
      <w:sz w:val="32"/>
      <w:szCs w:val="44"/>
    </w:rPr>
  </w:style>
  <w:style w:type="character" w:customStyle="1" w:styleId="155">
    <w:name w:val="标题 7 字符"/>
    <w:basedOn w:val="35"/>
    <w:link w:val="9"/>
    <w:autoRedefine/>
    <w:semiHidden/>
    <w:qFormat/>
    <w:uiPriority w:val="0"/>
    <w:rPr>
      <w:rFonts w:ascii="Calibri" w:hAnsi="Calibri" w:eastAsia="宋体"/>
      <w:b/>
      <w:bCs/>
      <w:kern w:val="2"/>
      <w:sz w:val="24"/>
      <w:szCs w:val="24"/>
    </w:rPr>
  </w:style>
  <w:style w:type="character" w:customStyle="1" w:styleId="156">
    <w:name w:val="标题 7 Char1"/>
    <w:autoRedefine/>
    <w:qFormat/>
    <w:uiPriority w:val="0"/>
    <w:rPr>
      <w:rFonts w:ascii="Calibri" w:hAnsi="Calibri"/>
      <w:b/>
      <w:bCs/>
      <w:kern w:val="2"/>
      <w:sz w:val="24"/>
      <w:szCs w:val="24"/>
    </w:rPr>
  </w:style>
  <w:style w:type="character" w:customStyle="1" w:styleId="157">
    <w:name w:val="批注文字 Char2"/>
    <w:autoRedefine/>
    <w:qFormat/>
    <w:uiPriority w:val="99"/>
    <w:rPr>
      <w:szCs w:val="24"/>
    </w:rPr>
  </w:style>
  <w:style w:type="character" w:customStyle="1" w:styleId="158">
    <w:name w:val="正文文本 Char2"/>
    <w:autoRedefine/>
    <w:qFormat/>
    <w:uiPriority w:val="0"/>
    <w:rPr>
      <w:kern w:val="2"/>
      <w:sz w:val="21"/>
      <w:szCs w:val="24"/>
    </w:rPr>
  </w:style>
  <w:style w:type="paragraph" w:customStyle="1" w:styleId="159">
    <w:name w:val="修订1"/>
    <w:hidden/>
    <w:semiHidden/>
    <w:qFormat/>
    <w:uiPriority w:val="99"/>
    <w:rPr>
      <w:rFonts w:ascii="Calibri" w:hAnsi="Calibri" w:eastAsia="宋体" w:cs="Times New Roman"/>
      <w:kern w:val="2"/>
      <w:sz w:val="21"/>
      <w:szCs w:val="24"/>
      <w:lang w:val="en-US" w:eastAsia="zh-CN" w:bidi="ar-SA"/>
    </w:rPr>
  </w:style>
  <w:style w:type="paragraph" w:customStyle="1" w:styleId="160">
    <w:name w:val="Table Text"/>
    <w:basedOn w:val="1"/>
    <w:semiHidden/>
    <w:qFormat/>
    <w:uiPriority w:val="0"/>
    <w:rPr>
      <w:rFonts w:ascii="宋体" w:hAnsi="宋体" w:cs="宋体"/>
      <w:sz w:val="24"/>
      <w:lang w:eastAsia="en-US"/>
    </w:rPr>
  </w:style>
  <w:style w:type="table" w:customStyle="1" w:styleId="161">
    <w:name w:val="Table Normal"/>
    <w:semiHidden/>
    <w:unhideWhenUsed/>
    <w:qFormat/>
    <w:uiPriority w:val="0"/>
    <w:tblPr>
      <w:tblCellMar>
        <w:top w:w="0" w:type="dxa"/>
        <w:left w:w="0" w:type="dxa"/>
        <w:bottom w:w="0" w:type="dxa"/>
        <w:right w:w="0" w:type="dxa"/>
      </w:tblCellMar>
    </w:tblPr>
  </w:style>
  <w:style w:type="paragraph" w:customStyle="1" w:styleId="162">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8C1FCB-3E05-4319-AE0B-58D6B39172F8}">
  <ds:schemaRefs/>
</ds:datastoreItem>
</file>

<file path=docProps/app.xml><?xml version="1.0" encoding="utf-8"?>
<Properties xmlns="http://schemas.openxmlformats.org/officeDocument/2006/extended-properties" xmlns:vt="http://schemas.openxmlformats.org/officeDocument/2006/docPropsVTypes">
  <Template>Normal</Template>
  <Pages>103</Pages>
  <Words>18739</Words>
  <Characters>20179</Characters>
  <Lines>368</Lines>
  <Paragraphs>103</Paragraphs>
  <TotalTime>25</TotalTime>
  <ScaleCrop>false</ScaleCrop>
  <LinksUpToDate>false</LinksUpToDate>
  <CharactersWithSpaces>20740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2025-07-31T02:53:00Z</dcterms:created>
  <dc:creator>肖萌</dc:creator>
  <cp:lastModifiedBy>王彬宇</cp:lastModifiedBy>
  <cp:lastPrinted>2025-05-19T02:06:00Z</cp:lastPrinted>
  <dcterms:modified xsi:type="dcterms:W3CDTF">2025-08-06T11:02:19Z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5F54C91E443A4DB0BC44E7632DC403EB_13</vt:lpwstr>
  </property>
  <property fmtid="{D5CDD505-2E9C-101B-9397-08002B2CF9AE}" pid="4" name="KSOTemplateDocerSaveRecord">
    <vt:lpwstr>eyJoZGlkIjoiNGZiMzhmM2E5NTcwMzM5NTVlNmExMWRhNTRlN2NjMjkiLCJ1c2VySWQiOiIxMjQyNDI0MTk4In0=</vt:lpwstr>
  </property>
</Properties>
</file>