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29AC5">
      <w:pPr>
        <w:pStyle w:val="11"/>
        <w:rPr>
          <w:rFonts w:hint="eastAsia"/>
          <w:color w:val="auto"/>
          <w:highlight w:val="none"/>
        </w:rPr>
      </w:pPr>
      <w:r>
        <w:rPr>
          <w:rFonts w:hint="eastAsia" w:ascii="宋体" w:hAnsi="宋体" w:eastAsia="宋体" w:cs="宋体"/>
          <w:color w:val="auto"/>
          <w:sz w:val="44"/>
          <w:szCs w:val="44"/>
          <w:highlight w:val="none"/>
        </w:rPr>
        <w:drawing>
          <wp:anchor distT="0" distB="0" distL="114300" distR="114300" simplePos="0" relativeHeight="251660288" behindDoc="0" locked="0" layoutInCell="1" allowOverlap="1">
            <wp:simplePos x="0" y="0"/>
            <wp:positionH relativeFrom="column">
              <wp:posOffset>381000</wp:posOffset>
            </wp:positionH>
            <wp:positionV relativeFrom="paragraph">
              <wp:posOffset>127635</wp:posOffset>
            </wp:positionV>
            <wp:extent cx="860425" cy="920750"/>
            <wp:effectExtent l="0" t="0" r="15875" b="12700"/>
            <wp:wrapNone/>
            <wp:docPr id="1" name="图片 10" descr="透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透明logo"/>
                    <pic:cNvPicPr>
                      <a:picLocks noChangeAspect="1"/>
                    </pic:cNvPicPr>
                  </pic:nvPicPr>
                  <pic:blipFill>
                    <a:blip r:embed="rId18"/>
                    <a:stretch>
                      <a:fillRect/>
                    </a:stretch>
                  </pic:blipFill>
                  <pic:spPr>
                    <a:xfrm>
                      <a:off x="0" y="0"/>
                      <a:ext cx="860425" cy="920750"/>
                    </a:xfrm>
                    <a:prstGeom prst="rect">
                      <a:avLst/>
                    </a:prstGeom>
                    <a:noFill/>
                    <a:ln>
                      <a:noFill/>
                    </a:ln>
                  </pic:spPr>
                </pic:pic>
              </a:graphicData>
            </a:graphic>
          </wp:anchor>
        </w:drawing>
      </w:r>
    </w:p>
    <w:p w14:paraId="3363BBEF">
      <w:pPr>
        <w:pStyle w:val="11"/>
        <w:rPr>
          <w:rFonts w:hint="eastAsia"/>
          <w:color w:val="auto"/>
          <w:sz w:val="28"/>
          <w:szCs w:val="28"/>
          <w:highlight w:val="none"/>
          <w:lang w:val="en-US" w:eastAsia="zh-CN"/>
        </w:rPr>
      </w:pPr>
    </w:p>
    <w:p w14:paraId="0C4F7DC8">
      <w:pPr>
        <w:pStyle w:val="11"/>
        <w:jc w:val="right"/>
        <w:rPr>
          <w:rFonts w:hint="eastAsia" w:eastAsia="宋体"/>
          <w:color w:val="auto"/>
          <w:sz w:val="28"/>
          <w:szCs w:val="28"/>
          <w:highlight w:val="none"/>
          <w:lang w:val="en-US" w:eastAsia="zh-CN"/>
        </w:rPr>
      </w:pPr>
      <w:r>
        <w:rPr>
          <w:rFonts w:hint="eastAsia"/>
          <w:color w:val="auto"/>
          <w:sz w:val="28"/>
          <w:szCs w:val="28"/>
          <w:highlight w:val="none"/>
          <w:lang w:val="en-US" w:eastAsia="zh-CN"/>
        </w:rPr>
        <w:t>项目编号</w:t>
      </w:r>
      <w:r>
        <w:rPr>
          <w:rFonts w:hint="eastAsia"/>
          <w:color w:val="auto"/>
          <w:sz w:val="28"/>
          <w:szCs w:val="28"/>
          <w:highlight w:val="none"/>
        </w:rPr>
        <w:t>：YDCT</w:t>
      </w:r>
      <w:r>
        <w:rPr>
          <w:rFonts w:hint="eastAsia"/>
          <w:color w:val="auto"/>
          <w:sz w:val="28"/>
          <w:szCs w:val="28"/>
          <w:highlight w:val="none"/>
          <w:lang w:val="en-US" w:eastAsia="zh-CN"/>
        </w:rPr>
        <w:t>F</w:t>
      </w:r>
      <w:r>
        <w:rPr>
          <w:rFonts w:hint="eastAsia"/>
          <w:color w:val="auto"/>
          <w:sz w:val="28"/>
          <w:szCs w:val="28"/>
          <w:highlight w:val="none"/>
          <w:lang w:eastAsia="zh-CN"/>
        </w:rPr>
        <w:t>20250912</w:t>
      </w:r>
    </w:p>
    <w:p w14:paraId="2BC65313">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cs="宋体"/>
          <w:b/>
          <w:bCs/>
          <w:color w:val="auto"/>
          <w:sz w:val="52"/>
          <w:szCs w:val="52"/>
          <w:highlight w:val="none"/>
          <w:lang w:eastAsia="zh-CN"/>
        </w:rPr>
      </w:pPr>
    </w:p>
    <w:p w14:paraId="1F8742B7">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cs="宋体"/>
          <w:b/>
          <w:bCs/>
          <w:color w:val="auto"/>
          <w:sz w:val="44"/>
          <w:szCs w:val="44"/>
          <w:highlight w:val="none"/>
          <w:lang w:eastAsia="zh-CN"/>
        </w:rPr>
      </w:pPr>
      <w:r>
        <w:rPr>
          <w:rFonts w:hint="eastAsia" w:ascii="宋体" w:hAnsi="宋体" w:cs="宋体"/>
          <w:b/>
          <w:bCs/>
          <w:color w:val="auto"/>
          <w:sz w:val="44"/>
          <w:szCs w:val="44"/>
          <w:highlight w:val="none"/>
          <w:lang w:eastAsia="zh-CN"/>
        </w:rPr>
        <w:t>怒江州中医医院2025-2028年耗材配送服务采购项目（标段1：普通耗材配送服务）三次</w:t>
      </w:r>
    </w:p>
    <w:p w14:paraId="425BD1E4">
      <w:pPr>
        <w:jc w:val="center"/>
        <w:rPr>
          <w:rFonts w:hint="eastAsia" w:ascii="宋体" w:hAnsi="宋体" w:cs="宋体"/>
          <w:b/>
          <w:bCs/>
          <w:color w:val="auto"/>
          <w:sz w:val="96"/>
          <w:szCs w:val="96"/>
          <w:highlight w:val="none"/>
        </w:rPr>
      </w:pPr>
    </w:p>
    <w:p w14:paraId="30571032">
      <w:pPr>
        <w:pStyle w:val="11"/>
        <w:rPr>
          <w:rFonts w:hint="eastAsia" w:ascii="宋体" w:hAnsi="宋体" w:cs="宋体"/>
          <w:b/>
          <w:bCs/>
          <w:color w:val="auto"/>
          <w:sz w:val="96"/>
          <w:szCs w:val="96"/>
          <w:highlight w:val="none"/>
        </w:rPr>
      </w:pPr>
    </w:p>
    <w:p w14:paraId="25E94F92">
      <w:pPr>
        <w:rPr>
          <w:rFonts w:hint="eastAsia" w:ascii="宋体" w:hAnsi="宋体" w:cs="宋体"/>
          <w:b/>
          <w:bCs/>
          <w:color w:val="auto"/>
          <w:sz w:val="96"/>
          <w:szCs w:val="96"/>
          <w:highlight w:val="none"/>
        </w:rPr>
      </w:pPr>
    </w:p>
    <w:p w14:paraId="5166F269">
      <w:pPr>
        <w:jc w:val="center"/>
        <w:rPr>
          <w:rFonts w:hint="eastAsia" w:ascii="宋体" w:hAnsi="宋体" w:cs="宋体"/>
          <w:color w:val="auto"/>
          <w:sz w:val="28"/>
          <w:szCs w:val="28"/>
          <w:highlight w:val="none"/>
        </w:rPr>
      </w:pPr>
      <w:bookmarkStart w:id="0" w:name="_Hlk161686499"/>
      <w:r>
        <w:rPr>
          <w:rFonts w:hint="eastAsia" w:ascii="宋体" w:hAnsi="宋体" w:cs="宋体"/>
          <w:b/>
          <w:bCs/>
          <w:color w:val="auto"/>
          <w:sz w:val="96"/>
          <w:szCs w:val="96"/>
          <w:highlight w:val="none"/>
        </w:rPr>
        <w:t>招标文件</w:t>
      </w:r>
      <w:bookmarkEnd w:id="0"/>
    </w:p>
    <w:p w14:paraId="5ED9A091">
      <w:pPr>
        <w:pStyle w:val="11"/>
        <w:rPr>
          <w:rFonts w:hint="eastAsia"/>
          <w:color w:val="auto"/>
          <w:highlight w:val="none"/>
        </w:rPr>
      </w:pPr>
    </w:p>
    <w:p w14:paraId="6BB2E4DB">
      <w:pPr>
        <w:pStyle w:val="11"/>
        <w:rPr>
          <w:rFonts w:hint="eastAsia"/>
          <w:color w:val="auto"/>
          <w:highlight w:val="none"/>
        </w:rPr>
      </w:pPr>
    </w:p>
    <w:p w14:paraId="66B09EBA">
      <w:pPr>
        <w:pStyle w:val="11"/>
        <w:rPr>
          <w:rFonts w:hint="eastAsia"/>
          <w:color w:val="auto"/>
          <w:highlight w:val="none"/>
        </w:rPr>
      </w:pPr>
    </w:p>
    <w:p w14:paraId="733B4656">
      <w:pPr>
        <w:pStyle w:val="11"/>
        <w:rPr>
          <w:rFonts w:hint="eastAsia"/>
          <w:color w:val="auto"/>
          <w:highlight w:val="none"/>
        </w:rPr>
      </w:pPr>
    </w:p>
    <w:p w14:paraId="41D9C9DE">
      <w:pPr>
        <w:pStyle w:val="11"/>
        <w:rPr>
          <w:color w:val="auto"/>
          <w:sz w:val="32"/>
          <w:szCs w:val="32"/>
          <w:highlight w:val="none"/>
        </w:rPr>
      </w:pPr>
    </w:p>
    <w:p w14:paraId="051FEB29">
      <w:pPr>
        <w:rPr>
          <w:color w:val="auto"/>
          <w:highlight w:val="none"/>
        </w:rPr>
      </w:pPr>
    </w:p>
    <w:p w14:paraId="1A3258D6">
      <w:pPr>
        <w:pStyle w:val="11"/>
        <w:rPr>
          <w:color w:val="auto"/>
          <w:sz w:val="32"/>
          <w:szCs w:val="32"/>
          <w:highlight w:val="none"/>
        </w:rPr>
      </w:pPr>
    </w:p>
    <w:p w14:paraId="13BAC0BC">
      <w:pPr>
        <w:pStyle w:val="11"/>
        <w:rPr>
          <w:color w:val="auto"/>
          <w:sz w:val="32"/>
          <w:szCs w:val="32"/>
          <w:highlight w:val="none"/>
        </w:rPr>
      </w:pPr>
    </w:p>
    <w:p w14:paraId="21737F51">
      <w:pPr>
        <w:pStyle w:val="11"/>
        <w:keepNext w:val="0"/>
        <w:keepLines w:val="0"/>
        <w:pageBreakBefore w:val="0"/>
        <w:widowControl/>
        <w:kinsoku/>
        <w:wordWrap/>
        <w:overflowPunct/>
        <w:topLinePunct w:val="0"/>
        <w:autoSpaceDE/>
        <w:autoSpaceDN/>
        <w:bidi w:val="0"/>
        <w:adjustRightInd/>
        <w:snapToGrid/>
        <w:spacing w:line="700" w:lineRule="exact"/>
        <w:ind w:firstLine="1084" w:firstLineChars="300"/>
        <w:textAlignment w:val="auto"/>
        <w:rPr>
          <w:rFonts w:hint="eastAsia" w:eastAsia="宋体"/>
          <w:color w:val="auto"/>
          <w:sz w:val="36"/>
          <w:szCs w:val="36"/>
          <w:highlight w:val="none"/>
          <w:lang w:eastAsia="zh-CN"/>
        </w:rPr>
      </w:pPr>
      <w:r>
        <w:rPr>
          <w:rFonts w:hint="eastAsia"/>
          <w:color w:val="auto"/>
          <w:sz w:val="36"/>
          <w:szCs w:val="36"/>
          <w:highlight w:val="none"/>
        </w:rPr>
        <w:t>招   标   人：</w:t>
      </w:r>
      <w:r>
        <w:rPr>
          <w:rFonts w:hint="eastAsia"/>
          <w:color w:val="auto"/>
          <w:sz w:val="36"/>
          <w:szCs w:val="36"/>
          <w:highlight w:val="none"/>
          <w:lang w:eastAsia="zh-CN"/>
        </w:rPr>
        <w:t>怒江傈僳族自治州中医医院</w:t>
      </w:r>
    </w:p>
    <w:p w14:paraId="565259D0">
      <w:pPr>
        <w:pStyle w:val="11"/>
        <w:keepNext w:val="0"/>
        <w:keepLines w:val="0"/>
        <w:pageBreakBefore w:val="0"/>
        <w:widowControl/>
        <w:kinsoku/>
        <w:wordWrap/>
        <w:overflowPunct/>
        <w:topLinePunct w:val="0"/>
        <w:autoSpaceDE/>
        <w:autoSpaceDN/>
        <w:bidi w:val="0"/>
        <w:adjustRightInd/>
        <w:snapToGrid/>
        <w:spacing w:line="700" w:lineRule="exact"/>
        <w:ind w:firstLine="1084" w:firstLineChars="300"/>
        <w:textAlignment w:val="auto"/>
        <w:rPr>
          <w:rFonts w:hint="eastAsia"/>
          <w:color w:val="auto"/>
          <w:sz w:val="36"/>
          <w:szCs w:val="36"/>
          <w:highlight w:val="none"/>
        </w:rPr>
      </w:pPr>
      <w:r>
        <w:rPr>
          <w:rFonts w:hint="eastAsia"/>
          <w:color w:val="auto"/>
          <w:sz w:val="36"/>
          <w:szCs w:val="36"/>
          <w:highlight w:val="none"/>
        </w:rPr>
        <w:t>招标代理机构：云南元大工程咨询有限责任公司</w:t>
      </w:r>
    </w:p>
    <w:p w14:paraId="53365739">
      <w:pPr>
        <w:pStyle w:val="11"/>
        <w:keepNext w:val="0"/>
        <w:keepLines w:val="0"/>
        <w:pageBreakBefore w:val="0"/>
        <w:widowControl/>
        <w:kinsoku/>
        <w:wordWrap/>
        <w:overflowPunct/>
        <w:topLinePunct w:val="0"/>
        <w:autoSpaceDE/>
        <w:autoSpaceDN/>
        <w:bidi w:val="0"/>
        <w:adjustRightInd/>
        <w:snapToGrid/>
        <w:spacing w:line="700" w:lineRule="exact"/>
        <w:ind w:firstLine="1084" w:firstLineChars="300"/>
        <w:textAlignment w:val="auto"/>
        <w:rPr>
          <w:rFonts w:hint="eastAsia"/>
          <w:color w:val="auto"/>
          <w:sz w:val="36"/>
          <w:szCs w:val="36"/>
          <w:highlight w:val="none"/>
        </w:rPr>
      </w:pPr>
      <w:r>
        <w:rPr>
          <w:rFonts w:hint="eastAsia"/>
          <w:color w:val="auto"/>
          <w:sz w:val="36"/>
          <w:szCs w:val="36"/>
          <w:highlight w:val="none"/>
        </w:rPr>
        <w:t>日        期：2025年</w:t>
      </w:r>
      <w:r>
        <w:rPr>
          <w:rFonts w:hint="eastAsia"/>
          <w:color w:val="auto"/>
          <w:sz w:val="36"/>
          <w:szCs w:val="36"/>
          <w:highlight w:val="none"/>
          <w:lang w:val="en-US" w:eastAsia="zh-CN"/>
        </w:rPr>
        <w:t>7</w:t>
      </w:r>
      <w:r>
        <w:rPr>
          <w:rFonts w:hint="eastAsia"/>
          <w:color w:val="auto"/>
          <w:sz w:val="36"/>
          <w:szCs w:val="36"/>
          <w:highlight w:val="none"/>
        </w:rPr>
        <w:t>月</w:t>
      </w:r>
    </w:p>
    <w:p w14:paraId="4BCA82A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cs="宋体"/>
          <w:b/>
          <w:bCs/>
          <w:color w:val="auto"/>
          <w:sz w:val="44"/>
          <w:szCs w:val="44"/>
          <w:highlight w:val="none"/>
        </w:rPr>
        <w:sectPr>
          <w:headerReference r:id="rId5" w:type="first"/>
          <w:footerReference r:id="rId8" w:type="first"/>
          <w:headerReference r:id="rId3" w:type="default"/>
          <w:footerReference r:id="rId6" w:type="default"/>
          <w:headerReference r:id="rId4" w:type="even"/>
          <w:footerReference r:id="rId7" w:type="even"/>
          <w:pgSz w:w="11905" w:h="16838"/>
          <w:pgMar w:top="1191" w:right="1191" w:bottom="1191" w:left="1304" w:header="567" w:footer="777" w:gutter="0"/>
          <w:pgNumType w:fmt="numberInDash"/>
          <w:cols w:space="0" w:num="1"/>
          <w:docGrid w:linePitch="317" w:charSpace="0"/>
        </w:sectPr>
      </w:pPr>
    </w:p>
    <w:p w14:paraId="65EB9E82">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目  录</w:t>
      </w:r>
    </w:p>
    <w:p w14:paraId="6BBEC453">
      <w:pPr>
        <w:pStyle w:val="22"/>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val="0"/>
          <w:color w:val="auto"/>
          <w:sz w:val="32"/>
          <w:szCs w:val="32"/>
          <w:highlight w:val="none"/>
        </w:rPr>
        <w:fldChar w:fldCharType="begin"/>
      </w:r>
      <w:r>
        <w:rPr>
          <w:rFonts w:hint="eastAsia" w:ascii="宋体" w:hAnsi="宋体" w:cs="宋体"/>
          <w:b w:val="0"/>
          <w:bCs w:val="0"/>
          <w:caps w:val="0"/>
          <w:color w:val="auto"/>
          <w:sz w:val="32"/>
          <w:szCs w:val="32"/>
          <w:highlight w:val="none"/>
        </w:rPr>
        <w:instrText xml:space="preserve"> TOC \o "1-3" \h \z \u </w:instrText>
      </w:r>
      <w:r>
        <w:rPr>
          <w:rFonts w:hint="eastAsia" w:ascii="宋体" w:hAnsi="宋体" w:cs="宋体"/>
          <w:b w:val="0"/>
          <w:bCs w:val="0"/>
          <w:caps w:val="0"/>
          <w:color w:val="auto"/>
          <w:sz w:val="32"/>
          <w:szCs w:val="32"/>
          <w:highlight w:val="none"/>
        </w:rPr>
        <w:fldChar w:fldCharType="separate"/>
      </w:r>
      <w:r>
        <w:rPr>
          <w:rFonts w:hint="eastAsia" w:ascii="宋体" w:hAnsi="宋体" w:cs="宋体"/>
          <w:b w:val="0"/>
          <w:bCs w:val="0"/>
          <w:caps w:val="0"/>
          <w:color w:val="auto"/>
          <w:szCs w:val="32"/>
          <w:highlight w:val="none"/>
        </w:rPr>
        <w:fldChar w:fldCharType="begin"/>
      </w:r>
      <w:r>
        <w:rPr>
          <w:rFonts w:hint="eastAsia" w:ascii="宋体" w:hAnsi="宋体" w:cs="宋体"/>
          <w:b w:val="0"/>
          <w:bCs w:val="0"/>
          <w:caps w:val="0"/>
          <w:color w:val="auto"/>
          <w:szCs w:val="32"/>
          <w:highlight w:val="none"/>
        </w:rPr>
        <w:instrText xml:space="preserve"> HYPERLINK \l _Toc31015 </w:instrText>
      </w:r>
      <w:r>
        <w:rPr>
          <w:rFonts w:hint="eastAsia" w:ascii="宋体" w:hAnsi="宋体" w:cs="宋体"/>
          <w:b w:val="0"/>
          <w:bCs w:val="0"/>
          <w:caps w:val="0"/>
          <w:color w:val="auto"/>
          <w:szCs w:val="32"/>
          <w:highlight w:val="none"/>
        </w:rPr>
        <w:fldChar w:fldCharType="separate"/>
      </w:r>
      <w:r>
        <w:rPr>
          <w:rFonts w:hint="eastAsia" w:ascii="宋体" w:hAnsi="宋体" w:cs="宋体"/>
          <w:b w:val="0"/>
          <w:bCs w:val="0"/>
          <w:color w:val="auto"/>
          <w:highlight w:val="none"/>
        </w:rPr>
        <w:t>第一章 招标公告</w:t>
      </w:r>
      <w:r>
        <w:rPr>
          <w:b w:val="0"/>
          <w:bCs w:val="0"/>
          <w:color w:val="auto"/>
        </w:rPr>
        <w:tab/>
      </w:r>
      <w:r>
        <w:rPr>
          <w:b w:val="0"/>
          <w:bCs w:val="0"/>
          <w:color w:val="auto"/>
        </w:rPr>
        <w:fldChar w:fldCharType="begin"/>
      </w:r>
      <w:r>
        <w:rPr>
          <w:b w:val="0"/>
          <w:bCs w:val="0"/>
          <w:color w:val="auto"/>
        </w:rPr>
        <w:instrText xml:space="preserve"> PAGEREF _Toc31015 \h </w:instrText>
      </w:r>
      <w:r>
        <w:rPr>
          <w:b w:val="0"/>
          <w:bCs w:val="0"/>
          <w:color w:val="auto"/>
        </w:rPr>
        <w:fldChar w:fldCharType="separate"/>
      </w:r>
      <w:r>
        <w:rPr>
          <w:b w:val="0"/>
          <w:bCs w:val="0"/>
          <w:color w:val="auto"/>
        </w:rPr>
        <w:t>1</w:t>
      </w:r>
      <w:r>
        <w:rPr>
          <w:b w:val="0"/>
          <w:bCs w:val="0"/>
          <w:color w:val="auto"/>
        </w:rPr>
        <w:fldChar w:fldCharType="end"/>
      </w:r>
      <w:r>
        <w:rPr>
          <w:rFonts w:hint="eastAsia" w:ascii="宋体" w:hAnsi="宋体" w:cs="宋体"/>
          <w:b w:val="0"/>
          <w:bCs w:val="0"/>
          <w:caps w:val="0"/>
          <w:color w:val="auto"/>
          <w:szCs w:val="32"/>
          <w:highlight w:val="none"/>
        </w:rPr>
        <w:fldChar w:fldCharType="end"/>
      </w:r>
    </w:p>
    <w:p w14:paraId="7939C4DE">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_Toc18589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4"/>
          <w:highlight w:val="none"/>
        </w:rPr>
        <w:t>一、项目基本情况</w:t>
      </w:r>
      <w:r>
        <w:rPr>
          <w:b w:val="0"/>
          <w:bCs w:val="0"/>
          <w:color w:val="auto"/>
        </w:rPr>
        <w:tab/>
      </w:r>
      <w:r>
        <w:rPr>
          <w:b w:val="0"/>
          <w:bCs w:val="0"/>
          <w:color w:val="auto"/>
        </w:rPr>
        <w:fldChar w:fldCharType="begin"/>
      </w:r>
      <w:r>
        <w:rPr>
          <w:b w:val="0"/>
          <w:bCs w:val="0"/>
          <w:color w:val="auto"/>
        </w:rPr>
        <w:instrText xml:space="preserve"> PAGEREF _Toc18589 \h </w:instrText>
      </w:r>
      <w:r>
        <w:rPr>
          <w:b w:val="0"/>
          <w:bCs w:val="0"/>
          <w:color w:val="auto"/>
        </w:rPr>
        <w:fldChar w:fldCharType="separate"/>
      </w:r>
      <w:r>
        <w:rPr>
          <w:b w:val="0"/>
          <w:bCs w:val="0"/>
          <w:color w:val="auto"/>
        </w:rPr>
        <w:t>1</w:t>
      </w:r>
      <w:r>
        <w:rPr>
          <w:b w:val="0"/>
          <w:bCs w:val="0"/>
          <w:color w:val="auto"/>
        </w:rPr>
        <w:fldChar w:fldCharType="end"/>
      </w:r>
      <w:r>
        <w:rPr>
          <w:rFonts w:hint="eastAsia" w:ascii="宋体" w:hAnsi="宋体" w:cs="宋体"/>
          <w:b w:val="0"/>
          <w:bCs w:val="0"/>
          <w:caps/>
          <w:color w:val="auto"/>
          <w:szCs w:val="32"/>
          <w:highlight w:val="none"/>
        </w:rPr>
        <w:fldChar w:fldCharType="end"/>
      </w:r>
    </w:p>
    <w:p w14:paraId="00908B04">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_Toc86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4"/>
          <w:highlight w:val="none"/>
        </w:rPr>
        <w:t>二、</w:t>
      </w:r>
      <w:r>
        <w:rPr>
          <w:rFonts w:hint="eastAsia" w:ascii="宋体" w:hAnsi="宋体" w:eastAsia="宋体" w:cs="宋体"/>
          <w:b w:val="0"/>
          <w:bCs w:val="0"/>
          <w:color w:val="auto"/>
          <w:szCs w:val="24"/>
          <w:highlight w:val="none"/>
          <w:lang w:val="en-US" w:eastAsia="zh-CN"/>
        </w:rPr>
        <w:t>申请</w:t>
      </w:r>
      <w:r>
        <w:rPr>
          <w:rFonts w:hint="eastAsia" w:ascii="宋体" w:hAnsi="宋体" w:eastAsia="宋体" w:cs="宋体"/>
          <w:b w:val="0"/>
          <w:bCs w:val="0"/>
          <w:color w:val="auto"/>
          <w:szCs w:val="24"/>
          <w:highlight w:val="none"/>
        </w:rPr>
        <w:t>人的资格要求</w:t>
      </w:r>
      <w:r>
        <w:rPr>
          <w:b w:val="0"/>
          <w:bCs w:val="0"/>
          <w:color w:val="auto"/>
        </w:rPr>
        <w:tab/>
      </w:r>
      <w:r>
        <w:rPr>
          <w:b w:val="0"/>
          <w:bCs w:val="0"/>
          <w:color w:val="auto"/>
        </w:rPr>
        <w:fldChar w:fldCharType="begin"/>
      </w:r>
      <w:r>
        <w:rPr>
          <w:b w:val="0"/>
          <w:bCs w:val="0"/>
          <w:color w:val="auto"/>
        </w:rPr>
        <w:instrText xml:space="preserve"> PAGEREF _Toc86 \h </w:instrText>
      </w:r>
      <w:r>
        <w:rPr>
          <w:b w:val="0"/>
          <w:bCs w:val="0"/>
          <w:color w:val="auto"/>
        </w:rPr>
        <w:fldChar w:fldCharType="separate"/>
      </w:r>
      <w:r>
        <w:rPr>
          <w:b w:val="0"/>
          <w:bCs w:val="0"/>
          <w:color w:val="auto"/>
        </w:rPr>
        <w:t>1</w:t>
      </w:r>
      <w:r>
        <w:rPr>
          <w:b w:val="0"/>
          <w:bCs w:val="0"/>
          <w:color w:val="auto"/>
        </w:rPr>
        <w:fldChar w:fldCharType="end"/>
      </w:r>
      <w:r>
        <w:rPr>
          <w:rFonts w:hint="eastAsia" w:ascii="宋体" w:hAnsi="宋体" w:cs="宋体"/>
          <w:b w:val="0"/>
          <w:bCs w:val="0"/>
          <w:caps/>
          <w:color w:val="auto"/>
          <w:szCs w:val="32"/>
          <w:highlight w:val="none"/>
        </w:rPr>
        <w:fldChar w:fldCharType="end"/>
      </w:r>
    </w:p>
    <w:p w14:paraId="1830ACB0">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_Toc29577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4"/>
          <w:highlight w:val="none"/>
        </w:rPr>
        <w:t>三、获取招标文件</w:t>
      </w:r>
      <w:r>
        <w:rPr>
          <w:b w:val="0"/>
          <w:bCs w:val="0"/>
          <w:color w:val="auto"/>
        </w:rPr>
        <w:tab/>
      </w:r>
      <w:r>
        <w:rPr>
          <w:b w:val="0"/>
          <w:bCs w:val="0"/>
          <w:color w:val="auto"/>
        </w:rPr>
        <w:fldChar w:fldCharType="begin"/>
      </w:r>
      <w:r>
        <w:rPr>
          <w:b w:val="0"/>
          <w:bCs w:val="0"/>
          <w:color w:val="auto"/>
        </w:rPr>
        <w:instrText xml:space="preserve"> PAGEREF _Toc29577 \h </w:instrText>
      </w:r>
      <w:r>
        <w:rPr>
          <w:b w:val="0"/>
          <w:bCs w:val="0"/>
          <w:color w:val="auto"/>
        </w:rPr>
        <w:fldChar w:fldCharType="separate"/>
      </w:r>
      <w:r>
        <w:rPr>
          <w:b w:val="0"/>
          <w:bCs w:val="0"/>
          <w:color w:val="auto"/>
        </w:rPr>
        <w:t>3</w:t>
      </w:r>
      <w:r>
        <w:rPr>
          <w:b w:val="0"/>
          <w:bCs w:val="0"/>
          <w:color w:val="auto"/>
        </w:rPr>
        <w:fldChar w:fldCharType="end"/>
      </w:r>
      <w:r>
        <w:rPr>
          <w:rFonts w:hint="eastAsia" w:ascii="宋体" w:hAnsi="宋体" w:cs="宋体"/>
          <w:b w:val="0"/>
          <w:bCs w:val="0"/>
          <w:caps/>
          <w:color w:val="auto"/>
          <w:szCs w:val="32"/>
          <w:highlight w:val="none"/>
        </w:rPr>
        <w:fldChar w:fldCharType="end"/>
      </w:r>
    </w:p>
    <w:p w14:paraId="0621C5B7">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ind w:left="210"/>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_Toc25801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4"/>
          <w:highlight w:val="none"/>
        </w:rPr>
        <w:t>四、提交投标文件截止时间、开标时间和地点</w:t>
      </w:r>
      <w:r>
        <w:rPr>
          <w:b w:val="0"/>
          <w:bCs w:val="0"/>
          <w:color w:val="auto"/>
        </w:rPr>
        <w:tab/>
      </w:r>
      <w:r>
        <w:rPr>
          <w:b w:val="0"/>
          <w:bCs w:val="0"/>
          <w:color w:val="auto"/>
        </w:rPr>
        <w:fldChar w:fldCharType="begin"/>
      </w:r>
      <w:r>
        <w:rPr>
          <w:b w:val="0"/>
          <w:bCs w:val="0"/>
          <w:color w:val="auto"/>
        </w:rPr>
        <w:instrText xml:space="preserve"> PAGEREF _Toc25801 \h </w:instrText>
      </w:r>
      <w:r>
        <w:rPr>
          <w:b w:val="0"/>
          <w:bCs w:val="0"/>
          <w:color w:val="auto"/>
        </w:rPr>
        <w:fldChar w:fldCharType="separate"/>
      </w:r>
      <w:r>
        <w:rPr>
          <w:b w:val="0"/>
          <w:bCs w:val="0"/>
          <w:color w:val="auto"/>
        </w:rPr>
        <w:t>3</w:t>
      </w:r>
      <w:r>
        <w:rPr>
          <w:b w:val="0"/>
          <w:bCs w:val="0"/>
          <w:color w:val="auto"/>
        </w:rPr>
        <w:fldChar w:fldCharType="end"/>
      </w:r>
      <w:r>
        <w:rPr>
          <w:rFonts w:hint="eastAsia" w:ascii="宋体" w:hAnsi="宋体" w:cs="宋体"/>
          <w:b w:val="0"/>
          <w:bCs w:val="0"/>
          <w:caps/>
          <w:color w:val="auto"/>
          <w:szCs w:val="32"/>
          <w:highlight w:val="none"/>
        </w:rPr>
        <w:fldChar w:fldCharType="end"/>
      </w:r>
    </w:p>
    <w:p w14:paraId="735002F0">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_Toc8885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4"/>
          <w:highlight w:val="none"/>
        </w:rPr>
        <w:t>五、公告期限</w:t>
      </w:r>
      <w:r>
        <w:rPr>
          <w:b w:val="0"/>
          <w:bCs w:val="0"/>
          <w:color w:val="auto"/>
        </w:rPr>
        <w:tab/>
      </w:r>
      <w:r>
        <w:rPr>
          <w:b w:val="0"/>
          <w:bCs w:val="0"/>
          <w:color w:val="auto"/>
        </w:rPr>
        <w:fldChar w:fldCharType="begin"/>
      </w:r>
      <w:r>
        <w:rPr>
          <w:b w:val="0"/>
          <w:bCs w:val="0"/>
          <w:color w:val="auto"/>
        </w:rPr>
        <w:instrText xml:space="preserve"> PAGEREF _Toc8885 \h </w:instrText>
      </w:r>
      <w:r>
        <w:rPr>
          <w:b w:val="0"/>
          <w:bCs w:val="0"/>
          <w:color w:val="auto"/>
        </w:rPr>
        <w:fldChar w:fldCharType="separate"/>
      </w:r>
      <w:r>
        <w:rPr>
          <w:b w:val="0"/>
          <w:bCs w:val="0"/>
          <w:color w:val="auto"/>
        </w:rPr>
        <w:t>3</w:t>
      </w:r>
      <w:r>
        <w:rPr>
          <w:b w:val="0"/>
          <w:bCs w:val="0"/>
          <w:color w:val="auto"/>
        </w:rPr>
        <w:fldChar w:fldCharType="end"/>
      </w:r>
      <w:r>
        <w:rPr>
          <w:rFonts w:hint="eastAsia" w:ascii="宋体" w:hAnsi="宋体" w:cs="宋体"/>
          <w:b w:val="0"/>
          <w:bCs w:val="0"/>
          <w:caps/>
          <w:color w:val="auto"/>
          <w:szCs w:val="32"/>
          <w:highlight w:val="none"/>
        </w:rPr>
        <w:fldChar w:fldCharType="end"/>
      </w:r>
    </w:p>
    <w:p w14:paraId="0155DFED">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_Toc7518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4"/>
          <w:highlight w:val="none"/>
        </w:rPr>
        <w:t>六、其他补充事宜</w:t>
      </w:r>
      <w:r>
        <w:rPr>
          <w:b w:val="0"/>
          <w:bCs w:val="0"/>
          <w:color w:val="auto"/>
        </w:rPr>
        <w:tab/>
      </w:r>
      <w:r>
        <w:rPr>
          <w:b w:val="0"/>
          <w:bCs w:val="0"/>
          <w:color w:val="auto"/>
        </w:rPr>
        <w:fldChar w:fldCharType="begin"/>
      </w:r>
      <w:r>
        <w:rPr>
          <w:b w:val="0"/>
          <w:bCs w:val="0"/>
          <w:color w:val="auto"/>
        </w:rPr>
        <w:instrText xml:space="preserve"> PAGEREF _Toc7518 \h </w:instrText>
      </w:r>
      <w:r>
        <w:rPr>
          <w:b w:val="0"/>
          <w:bCs w:val="0"/>
          <w:color w:val="auto"/>
        </w:rPr>
        <w:fldChar w:fldCharType="separate"/>
      </w:r>
      <w:r>
        <w:rPr>
          <w:b w:val="0"/>
          <w:bCs w:val="0"/>
          <w:color w:val="auto"/>
        </w:rPr>
        <w:t>3</w:t>
      </w:r>
      <w:r>
        <w:rPr>
          <w:b w:val="0"/>
          <w:bCs w:val="0"/>
          <w:color w:val="auto"/>
        </w:rPr>
        <w:fldChar w:fldCharType="end"/>
      </w:r>
      <w:r>
        <w:rPr>
          <w:rFonts w:hint="eastAsia" w:ascii="宋体" w:hAnsi="宋体" w:cs="宋体"/>
          <w:b w:val="0"/>
          <w:bCs w:val="0"/>
          <w:caps/>
          <w:color w:val="auto"/>
          <w:szCs w:val="32"/>
          <w:highlight w:val="none"/>
        </w:rPr>
        <w:fldChar w:fldCharType="end"/>
      </w:r>
    </w:p>
    <w:p w14:paraId="516E1B0F">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_Toc5067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4"/>
          <w:highlight w:val="none"/>
        </w:rPr>
        <w:t>七、对本次招标提出询问，请按以下方式联系</w:t>
      </w:r>
      <w:r>
        <w:rPr>
          <w:b w:val="0"/>
          <w:bCs w:val="0"/>
          <w:color w:val="auto"/>
        </w:rPr>
        <w:tab/>
      </w:r>
      <w:r>
        <w:rPr>
          <w:b w:val="0"/>
          <w:bCs w:val="0"/>
          <w:color w:val="auto"/>
        </w:rPr>
        <w:fldChar w:fldCharType="begin"/>
      </w:r>
      <w:r>
        <w:rPr>
          <w:b w:val="0"/>
          <w:bCs w:val="0"/>
          <w:color w:val="auto"/>
        </w:rPr>
        <w:instrText xml:space="preserve"> PAGEREF _Toc5067 \h </w:instrText>
      </w:r>
      <w:r>
        <w:rPr>
          <w:b w:val="0"/>
          <w:bCs w:val="0"/>
          <w:color w:val="auto"/>
        </w:rPr>
        <w:fldChar w:fldCharType="separate"/>
      </w:r>
      <w:r>
        <w:rPr>
          <w:b w:val="0"/>
          <w:bCs w:val="0"/>
          <w:color w:val="auto"/>
        </w:rPr>
        <w:t>4</w:t>
      </w:r>
      <w:r>
        <w:rPr>
          <w:b w:val="0"/>
          <w:bCs w:val="0"/>
          <w:color w:val="auto"/>
        </w:rPr>
        <w:fldChar w:fldCharType="end"/>
      </w:r>
      <w:r>
        <w:rPr>
          <w:rFonts w:hint="eastAsia" w:ascii="宋体" w:hAnsi="宋体" w:cs="宋体"/>
          <w:b w:val="0"/>
          <w:bCs w:val="0"/>
          <w:caps/>
          <w:color w:val="auto"/>
          <w:szCs w:val="32"/>
          <w:highlight w:val="none"/>
        </w:rPr>
        <w:fldChar w:fldCharType="end"/>
      </w:r>
    </w:p>
    <w:p w14:paraId="36B46CD2">
      <w:pPr>
        <w:pStyle w:val="22"/>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_Toc12858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highlight w:val="none"/>
        </w:rPr>
        <w:t>第二章 投标人须知</w:t>
      </w:r>
      <w:r>
        <w:rPr>
          <w:b w:val="0"/>
          <w:bCs w:val="0"/>
          <w:color w:val="auto"/>
        </w:rPr>
        <w:tab/>
      </w:r>
      <w:r>
        <w:rPr>
          <w:b w:val="0"/>
          <w:bCs w:val="0"/>
          <w:color w:val="auto"/>
        </w:rPr>
        <w:fldChar w:fldCharType="begin"/>
      </w:r>
      <w:r>
        <w:rPr>
          <w:b w:val="0"/>
          <w:bCs w:val="0"/>
          <w:color w:val="auto"/>
        </w:rPr>
        <w:instrText xml:space="preserve"> PAGEREF _Toc12858 \h </w:instrText>
      </w:r>
      <w:r>
        <w:rPr>
          <w:b w:val="0"/>
          <w:bCs w:val="0"/>
          <w:color w:val="auto"/>
        </w:rPr>
        <w:fldChar w:fldCharType="separate"/>
      </w:r>
      <w:r>
        <w:rPr>
          <w:b w:val="0"/>
          <w:bCs w:val="0"/>
          <w:color w:val="auto"/>
        </w:rPr>
        <w:t>26</w:t>
      </w:r>
      <w:r>
        <w:rPr>
          <w:b w:val="0"/>
          <w:bCs w:val="0"/>
          <w:color w:val="auto"/>
        </w:rPr>
        <w:fldChar w:fldCharType="end"/>
      </w:r>
      <w:r>
        <w:rPr>
          <w:rFonts w:hint="eastAsia" w:ascii="宋体" w:hAnsi="宋体" w:cs="宋体"/>
          <w:b w:val="0"/>
          <w:bCs w:val="0"/>
          <w:caps/>
          <w:color w:val="auto"/>
          <w:szCs w:val="32"/>
          <w:highlight w:val="none"/>
        </w:rPr>
        <w:fldChar w:fldCharType="end"/>
      </w:r>
    </w:p>
    <w:p w14:paraId="7C138B74">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_Toc29432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32"/>
          <w:highlight w:val="none"/>
        </w:rPr>
        <w:t>投标人须知前附表</w:t>
      </w:r>
      <w:r>
        <w:rPr>
          <w:b w:val="0"/>
          <w:bCs w:val="0"/>
          <w:color w:val="auto"/>
        </w:rPr>
        <w:tab/>
      </w:r>
      <w:r>
        <w:rPr>
          <w:b w:val="0"/>
          <w:bCs w:val="0"/>
          <w:color w:val="auto"/>
        </w:rPr>
        <w:fldChar w:fldCharType="begin"/>
      </w:r>
      <w:r>
        <w:rPr>
          <w:b w:val="0"/>
          <w:bCs w:val="0"/>
          <w:color w:val="auto"/>
        </w:rPr>
        <w:instrText xml:space="preserve"> PAGEREF _Toc29432 \h </w:instrText>
      </w:r>
      <w:r>
        <w:rPr>
          <w:b w:val="0"/>
          <w:bCs w:val="0"/>
          <w:color w:val="auto"/>
        </w:rPr>
        <w:fldChar w:fldCharType="separate"/>
      </w:r>
      <w:r>
        <w:rPr>
          <w:b w:val="0"/>
          <w:bCs w:val="0"/>
          <w:color w:val="auto"/>
        </w:rPr>
        <w:t>26</w:t>
      </w:r>
      <w:r>
        <w:rPr>
          <w:b w:val="0"/>
          <w:bCs w:val="0"/>
          <w:color w:val="auto"/>
        </w:rPr>
        <w:fldChar w:fldCharType="end"/>
      </w:r>
      <w:r>
        <w:rPr>
          <w:rFonts w:hint="eastAsia" w:ascii="宋体" w:hAnsi="宋体" w:cs="宋体"/>
          <w:b w:val="0"/>
          <w:bCs w:val="0"/>
          <w:caps/>
          <w:color w:val="auto"/>
          <w:szCs w:val="32"/>
          <w:highlight w:val="none"/>
        </w:rPr>
        <w:fldChar w:fldCharType="end"/>
      </w:r>
    </w:p>
    <w:p w14:paraId="2B6BAE1A">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_Toc14601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rPr>
        <w:t>1. 总则</w:t>
      </w:r>
      <w:r>
        <w:rPr>
          <w:b w:val="0"/>
          <w:bCs w:val="0"/>
          <w:color w:val="auto"/>
        </w:rPr>
        <w:tab/>
      </w:r>
      <w:r>
        <w:rPr>
          <w:b w:val="0"/>
          <w:bCs w:val="0"/>
          <w:color w:val="auto"/>
        </w:rPr>
        <w:fldChar w:fldCharType="begin"/>
      </w:r>
      <w:r>
        <w:rPr>
          <w:b w:val="0"/>
          <w:bCs w:val="0"/>
          <w:color w:val="auto"/>
        </w:rPr>
        <w:instrText xml:space="preserve"> PAGEREF _Toc14601 \h </w:instrText>
      </w:r>
      <w:r>
        <w:rPr>
          <w:b w:val="0"/>
          <w:bCs w:val="0"/>
          <w:color w:val="auto"/>
        </w:rPr>
        <w:fldChar w:fldCharType="separate"/>
      </w:r>
      <w:r>
        <w:rPr>
          <w:b w:val="0"/>
          <w:bCs w:val="0"/>
          <w:color w:val="auto"/>
        </w:rPr>
        <w:t>31</w:t>
      </w:r>
      <w:r>
        <w:rPr>
          <w:b w:val="0"/>
          <w:bCs w:val="0"/>
          <w:color w:val="auto"/>
        </w:rPr>
        <w:fldChar w:fldCharType="end"/>
      </w:r>
      <w:r>
        <w:rPr>
          <w:rFonts w:hint="eastAsia" w:ascii="宋体" w:hAnsi="宋体" w:cs="宋体"/>
          <w:b w:val="0"/>
          <w:bCs w:val="0"/>
          <w:caps/>
          <w:color w:val="auto"/>
          <w:szCs w:val="32"/>
          <w:highlight w:val="none"/>
        </w:rPr>
        <w:fldChar w:fldCharType="end"/>
      </w:r>
    </w:p>
    <w:p w14:paraId="697FB4D1">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_Toc30885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rPr>
        <w:t>2. 招标文件</w:t>
      </w:r>
      <w:r>
        <w:rPr>
          <w:b w:val="0"/>
          <w:bCs w:val="0"/>
          <w:color w:val="auto"/>
        </w:rPr>
        <w:tab/>
      </w:r>
      <w:r>
        <w:rPr>
          <w:b w:val="0"/>
          <w:bCs w:val="0"/>
          <w:color w:val="auto"/>
        </w:rPr>
        <w:fldChar w:fldCharType="begin"/>
      </w:r>
      <w:r>
        <w:rPr>
          <w:b w:val="0"/>
          <w:bCs w:val="0"/>
          <w:color w:val="auto"/>
        </w:rPr>
        <w:instrText xml:space="preserve"> PAGEREF _Toc30885 \h </w:instrText>
      </w:r>
      <w:r>
        <w:rPr>
          <w:b w:val="0"/>
          <w:bCs w:val="0"/>
          <w:color w:val="auto"/>
        </w:rPr>
        <w:fldChar w:fldCharType="separate"/>
      </w:r>
      <w:r>
        <w:rPr>
          <w:b w:val="0"/>
          <w:bCs w:val="0"/>
          <w:color w:val="auto"/>
        </w:rPr>
        <w:t>32</w:t>
      </w:r>
      <w:r>
        <w:rPr>
          <w:b w:val="0"/>
          <w:bCs w:val="0"/>
          <w:color w:val="auto"/>
        </w:rPr>
        <w:fldChar w:fldCharType="end"/>
      </w:r>
      <w:r>
        <w:rPr>
          <w:rFonts w:hint="eastAsia" w:ascii="宋体" w:hAnsi="宋体" w:cs="宋体"/>
          <w:b w:val="0"/>
          <w:bCs w:val="0"/>
          <w:caps/>
          <w:color w:val="auto"/>
          <w:szCs w:val="32"/>
          <w:highlight w:val="none"/>
        </w:rPr>
        <w:fldChar w:fldCharType="end"/>
      </w:r>
    </w:p>
    <w:p w14:paraId="2155BDCC">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_Toc17493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rPr>
        <w:t>3. 投标文件</w:t>
      </w:r>
      <w:r>
        <w:rPr>
          <w:b w:val="0"/>
          <w:bCs w:val="0"/>
          <w:color w:val="auto"/>
        </w:rPr>
        <w:tab/>
      </w:r>
      <w:r>
        <w:rPr>
          <w:b w:val="0"/>
          <w:bCs w:val="0"/>
          <w:color w:val="auto"/>
        </w:rPr>
        <w:fldChar w:fldCharType="begin"/>
      </w:r>
      <w:r>
        <w:rPr>
          <w:b w:val="0"/>
          <w:bCs w:val="0"/>
          <w:color w:val="auto"/>
        </w:rPr>
        <w:instrText xml:space="preserve"> PAGEREF _Toc17493 \h </w:instrText>
      </w:r>
      <w:r>
        <w:rPr>
          <w:b w:val="0"/>
          <w:bCs w:val="0"/>
          <w:color w:val="auto"/>
        </w:rPr>
        <w:fldChar w:fldCharType="separate"/>
      </w:r>
      <w:r>
        <w:rPr>
          <w:b w:val="0"/>
          <w:bCs w:val="0"/>
          <w:color w:val="auto"/>
        </w:rPr>
        <w:t>32</w:t>
      </w:r>
      <w:r>
        <w:rPr>
          <w:b w:val="0"/>
          <w:bCs w:val="0"/>
          <w:color w:val="auto"/>
        </w:rPr>
        <w:fldChar w:fldCharType="end"/>
      </w:r>
      <w:r>
        <w:rPr>
          <w:rFonts w:hint="eastAsia" w:ascii="宋体" w:hAnsi="宋体" w:cs="宋体"/>
          <w:b w:val="0"/>
          <w:bCs w:val="0"/>
          <w:caps/>
          <w:color w:val="auto"/>
          <w:szCs w:val="32"/>
          <w:highlight w:val="none"/>
        </w:rPr>
        <w:fldChar w:fldCharType="end"/>
      </w:r>
    </w:p>
    <w:p w14:paraId="505D2F33">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_Toc16877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rPr>
        <w:t>4. 投标</w:t>
      </w:r>
      <w:r>
        <w:rPr>
          <w:b w:val="0"/>
          <w:bCs w:val="0"/>
          <w:color w:val="auto"/>
        </w:rPr>
        <w:tab/>
      </w:r>
      <w:r>
        <w:rPr>
          <w:b w:val="0"/>
          <w:bCs w:val="0"/>
          <w:color w:val="auto"/>
        </w:rPr>
        <w:fldChar w:fldCharType="begin"/>
      </w:r>
      <w:r>
        <w:rPr>
          <w:b w:val="0"/>
          <w:bCs w:val="0"/>
          <w:color w:val="auto"/>
        </w:rPr>
        <w:instrText xml:space="preserve"> PAGEREF _Toc16877 \h </w:instrText>
      </w:r>
      <w:r>
        <w:rPr>
          <w:b w:val="0"/>
          <w:bCs w:val="0"/>
          <w:color w:val="auto"/>
        </w:rPr>
        <w:fldChar w:fldCharType="separate"/>
      </w:r>
      <w:r>
        <w:rPr>
          <w:b w:val="0"/>
          <w:bCs w:val="0"/>
          <w:color w:val="auto"/>
        </w:rPr>
        <w:t>34</w:t>
      </w:r>
      <w:r>
        <w:rPr>
          <w:b w:val="0"/>
          <w:bCs w:val="0"/>
          <w:color w:val="auto"/>
        </w:rPr>
        <w:fldChar w:fldCharType="end"/>
      </w:r>
      <w:r>
        <w:rPr>
          <w:rFonts w:hint="eastAsia" w:ascii="宋体" w:hAnsi="宋体" w:cs="宋体"/>
          <w:b w:val="0"/>
          <w:bCs w:val="0"/>
          <w:caps/>
          <w:color w:val="auto"/>
          <w:szCs w:val="32"/>
          <w:highlight w:val="none"/>
        </w:rPr>
        <w:fldChar w:fldCharType="end"/>
      </w:r>
    </w:p>
    <w:p w14:paraId="3245FD2A">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_Toc26267 </w:instrText>
      </w:r>
      <w:r>
        <w:rPr>
          <w:rFonts w:hint="eastAsia" w:ascii="宋体" w:hAnsi="宋体" w:cs="宋体"/>
          <w:b w:val="0"/>
          <w:bCs w:val="0"/>
          <w:caps/>
          <w:color w:val="auto"/>
          <w:szCs w:val="32"/>
          <w:highlight w:val="none"/>
        </w:rPr>
        <w:fldChar w:fldCharType="separate"/>
      </w:r>
      <w:r>
        <w:rPr>
          <w:rFonts w:hint="eastAsia" w:ascii="宋体" w:hAnsi="宋体" w:eastAsia="宋体"/>
          <w:b w:val="0"/>
          <w:bCs w:val="0"/>
          <w:color w:val="auto"/>
          <w:szCs w:val="28"/>
          <w:highlight w:val="none"/>
        </w:rPr>
        <w:t>5. 开标</w:t>
      </w:r>
      <w:r>
        <w:rPr>
          <w:b w:val="0"/>
          <w:bCs w:val="0"/>
          <w:color w:val="auto"/>
        </w:rPr>
        <w:tab/>
      </w:r>
      <w:r>
        <w:rPr>
          <w:b w:val="0"/>
          <w:bCs w:val="0"/>
          <w:color w:val="auto"/>
        </w:rPr>
        <w:fldChar w:fldCharType="begin"/>
      </w:r>
      <w:r>
        <w:rPr>
          <w:b w:val="0"/>
          <w:bCs w:val="0"/>
          <w:color w:val="auto"/>
        </w:rPr>
        <w:instrText xml:space="preserve"> PAGEREF _Toc26267 \h </w:instrText>
      </w:r>
      <w:r>
        <w:rPr>
          <w:b w:val="0"/>
          <w:bCs w:val="0"/>
          <w:color w:val="auto"/>
        </w:rPr>
        <w:fldChar w:fldCharType="separate"/>
      </w:r>
      <w:r>
        <w:rPr>
          <w:b w:val="0"/>
          <w:bCs w:val="0"/>
          <w:color w:val="auto"/>
        </w:rPr>
        <w:t>34</w:t>
      </w:r>
      <w:r>
        <w:rPr>
          <w:b w:val="0"/>
          <w:bCs w:val="0"/>
          <w:color w:val="auto"/>
        </w:rPr>
        <w:fldChar w:fldCharType="end"/>
      </w:r>
      <w:r>
        <w:rPr>
          <w:rFonts w:hint="eastAsia" w:ascii="宋体" w:hAnsi="宋体" w:cs="宋体"/>
          <w:b w:val="0"/>
          <w:bCs w:val="0"/>
          <w:caps/>
          <w:color w:val="auto"/>
          <w:szCs w:val="32"/>
          <w:highlight w:val="none"/>
        </w:rPr>
        <w:fldChar w:fldCharType="end"/>
      </w:r>
    </w:p>
    <w:p w14:paraId="4146D053">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_Toc8675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rPr>
        <w:t>6. 资格审查</w:t>
      </w:r>
      <w:r>
        <w:rPr>
          <w:b w:val="0"/>
          <w:bCs w:val="0"/>
          <w:color w:val="auto"/>
        </w:rPr>
        <w:tab/>
      </w:r>
      <w:r>
        <w:rPr>
          <w:b w:val="0"/>
          <w:bCs w:val="0"/>
          <w:color w:val="auto"/>
        </w:rPr>
        <w:fldChar w:fldCharType="begin"/>
      </w:r>
      <w:r>
        <w:rPr>
          <w:b w:val="0"/>
          <w:bCs w:val="0"/>
          <w:color w:val="auto"/>
        </w:rPr>
        <w:instrText xml:space="preserve"> PAGEREF _Toc8675 \h </w:instrText>
      </w:r>
      <w:r>
        <w:rPr>
          <w:b w:val="0"/>
          <w:bCs w:val="0"/>
          <w:color w:val="auto"/>
        </w:rPr>
        <w:fldChar w:fldCharType="separate"/>
      </w:r>
      <w:r>
        <w:rPr>
          <w:b w:val="0"/>
          <w:bCs w:val="0"/>
          <w:color w:val="auto"/>
        </w:rPr>
        <w:t>35</w:t>
      </w:r>
      <w:r>
        <w:rPr>
          <w:b w:val="0"/>
          <w:bCs w:val="0"/>
          <w:color w:val="auto"/>
        </w:rPr>
        <w:fldChar w:fldCharType="end"/>
      </w:r>
      <w:r>
        <w:rPr>
          <w:rFonts w:hint="eastAsia" w:ascii="宋体" w:hAnsi="宋体" w:cs="宋体"/>
          <w:b w:val="0"/>
          <w:bCs w:val="0"/>
          <w:caps/>
          <w:color w:val="auto"/>
          <w:szCs w:val="32"/>
          <w:highlight w:val="none"/>
        </w:rPr>
        <w:fldChar w:fldCharType="end"/>
      </w:r>
    </w:p>
    <w:p w14:paraId="06B84B7A">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_Toc12036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rPr>
        <w:t>7. 评标</w:t>
      </w:r>
      <w:r>
        <w:rPr>
          <w:b w:val="0"/>
          <w:bCs w:val="0"/>
          <w:color w:val="auto"/>
        </w:rPr>
        <w:tab/>
      </w:r>
      <w:r>
        <w:rPr>
          <w:b w:val="0"/>
          <w:bCs w:val="0"/>
          <w:color w:val="auto"/>
        </w:rPr>
        <w:fldChar w:fldCharType="begin"/>
      </w:r>
      <w:r>
        <w:rPr>
          <w:b w:val="0"/>
          <w:bCs w:val="0"/>
          <w:color w:val="auto"/>
        </w:rPr>
        <w:instrText xml:space="preserve"> PAGEREF _Toc12036 \h </w:instrText>
      </w:r>
      <w:r>
        <w:rPr>
          <w:b w:val="0"/>
          <w:bCs w:val="0"/>
          <w:color w:val="auto"/>
        </w:rPr>
        <w:fldChar w:fldCharType="separate"/>
      </w:r>
      <w:r>
        <w:rPr>
          <w:b w:val="0"/>
          <w:bCs w:val="0"/>
          <w:color w:val="auto"/>
        </w:rPr>
        <w:t>35</w:t>
      </w:r>
      <w:r>
        <w:rPr>
          <w:b w:val="0"/>
          <w:bCs w:val="0"/>
          <w:color w:val="auto"/>
        </w:rPr>
        <w:fldChar w:fldCharType="end"/>
      </w:r>
      <w:r>
        <w:rPr>
          <w:rFonts w:hint="eastAsia" w:ascii="宋体" w:hAnsi="宋体" w:cs="宋体"/>
          <w:b w:val="0"/>
          <w:bCs w:val="0"/>
          <w:caps/>
          <w:color w:val="auto"/>
          <w:szCs w:val="32"/>
          <w:highlight w:val="none"/>
        </w:rPr>
        <w:fldChar w:fldCharType="end"/>
      </w:r>
    </w:p>
    <w:p w14:paraId="42206EA0">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_Toc23012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rPr>
        <w:t>8. 中标和合同</w:t>
      </w:r>
      <w:r>
        <w:rPr>
          <w:b w:val="0"/>
          <w:bCs w:val="0"/>
          <w:color w:val="auto"/>
        </w:rPr>
        <w:tab/>
      </w:r>
      <w:r>
        <w:rPr>
          <w:b w:val="0"/>
          <w:bCs w:val="0"/>
          <w:color w:val="auto"/>
        </w:rPr>
        <w:fldChar w:fldCharType="begin"/>
      </w:r>
      <w:r>
        <w:rPr>
          <w:b w:val="0"/>
          <w:bCs w:val="0"/>
          <w:color w:val="auto"/>
        </w:rPr>
        <w:instrText xml:space="preserve"> PAGEREF _Toc23012 \h </w:instrText>
      </w:r>
      <w:r>
        <w:rPr>
          <w:b w:val="0"/>
          <w:bCs w:val="0"/>
          <w:color w:val="auto"/>
        </w:rPr>
        <w:fldChar w:fldCharType="separate"/>
      </w:r>
      <w:r>
        <w:rPr>
          <w:b w:val="0"/>
          <w:bCs w:val="0"/>
          <w:color w:val="auto"/>
        </w:rPr>
        <w:t>36</w:t>
      </w:r>
      <w:r>
        <w:rPr>
          <w:b w:val="0"/>
          <w:bCs w:val="0"/>
          <w:color w:val="auto"/>
        </w:rPr>
        <w:fldChar w:fldCharType="end"/>
      </w:r>
      <w:r>
        <w:rPr>
          <w:rFonts w:hint="eastAsia" w:ascii="宋体" w:hAnsi="宋体" w:cs="宋体"/>
          <w:b w:val="0"/>
          <w:bCs w:val="0"/>
          <w:caps/>
          <w:color w:val="auto"/>
          <w:szCs w:val="32"/>
          <w:highlight w:val="none"/>
        </w:rPr>
        <w:fldChar w:fldCharType="end"/>
      </w:r>
    </w:p>
    <w:p w14:paraId="3C14A72C">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_Toc29934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rPr>
        <w:t>9. 询问与答复</w:t>
      </w:r>
      <w:r>
        <w:rPr>
          <w:b w:val="0"/>
          <w:bCs w:val="0"/>
          <w:color w:val="auto"/>
        </w:rPr>
        <w:tab/>
      </w:r>
      <w:r>
        <w:rPr>
          <w:b w:val="0"/>
          <w:bCs w:val="0"/>
          <w:color w:val="auto"/>
        </w:rPr>
        <w:fldChar w:fldCharType="begin"/>
      </w:r>
      <w:r>
        <w:rPr>
          <w:b w:val="0"/>
          <w:bCs w:val="0"/>
          <w:color w:val="auto"/>
        </w:rPr>
        <w:instrText xml:space="preserve"> PAGEREF _Toc29934 \h </w:instrText>
      </w:r>
      <w:r>
        <w:rPr>
          <w:b w:val="0"/>
          <w:bCs w:val="0"/>
          <w:color w:val="auto"/>
        </w:rPr>
        <w:fldChar w:fldCharType="separate"/>
      </w:r>
      <w:r>
        <w:rPr>
          <w:b w:val="0"/>
          <w:bCs w:val="0"/>
          <w:color w:val="auto"/>
        </w:rPr>
        <w:t>36</w:t>
      </w:r>
      <w:r>
        <w:rPr>
          <w:b w:val="0"/>
          <w:bCs w:val="0"/>
          <w:color w:val="auto"/>
        </w:rPr>
        <w:fldChar w:fldCharType="end"/>
      </w:r>
      <w:r>
        <w:rPr>
          <w:rFonts w:hint="eastAsia" w:ascii="宋体" w:hAnsi="宋体" w:cs="宋体"/>
          <w:b w:val="0"/>
          <w:bCs w:val="0"/>
          <w:caps/>
          <w:color w:val="auto"/>
          <w:szCs w:val="32"/>
          <w:highlight w:val="none"/>
        </w:rPr>
        <w:fldChar w:fldCharType="end"/>
      </w:r>
    </w:p>
    <w:p w14:paraId="1D278706">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_Toc22913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rPr>
        <w:t xml:space="preserve">10. </w:t>
      </w:r>
      <w:r>
        <w:rPr>
          <w:rFonts w:hint="eastAsia" w:ascii="宋体" w:hAnsi="宋体" w:eastAsia="宋体" w:cs="宋体"/>
          <w:b w:val="0"/>
          <w:bCs w:val="0"/>
          <w:color w:val="auto"/>
          <w:szCs w:val="28"/>
          <w:highlight w:val="none"/>
        </w:rPr>
        <w:t>质疑接收、回复</w:t>
      </w:r>
      <w:r>
        <w:rPr>
          <w:b w:val="0"/>
          <w:bCs w:val="0"/>
          <w:color w:val="auto"/>
        </w:rPr>
        <w:tab/>
      </w:r>
      <w:r>
        <w:rPr>
          <w:b w:val="0"/>
          <w:bCs w:val="0"/>
          <w:color w:val="auto"/>
        </w:rPr>
        <w:fldChar w:fldCharType="begin"/>
      </w:r>
      <w:r>
        <w:rPr>
          <w:b w:val="0"/>
          <w:bCs w:val="0"/>
          <w:color w:val="auto"/>
        </w:rPr>
        <w:instrText xml:space="preserve"> PAGEREF _Toc22913 \h </w:instrText>
      </w:r>
      <w:r>
        <w:rPr>
          <w:b w:val="0"/>
          <w:bCs w:val="0"/>
          <w:color w:val="auto"/>
        </w:rPr>
        <w:fldChar w:fldCharType="separate"/>
      </w:r>
      <w:r>
        <w:rPr>
          <w:b w:val="0"/>
          <w:bCs w:val="0"/>
          <w:color w:val="auto"/>
        </w:rPr>
        <w:t>36</w:t>
      </w:r>
      <w:r>
        <w:rPr>
          <w:b w:val="0"/>
          <w:bCs w:val="0"/>
          <w:color w:val="auto"/>
        </w:rPr>
        <w:fldChar w:fldCharType="end"/>
      </w:r>
      <w:r>
        <w:rPr>
          <w:rFonts w:hint="eastAsia" w:ascii="宋体" w:hAnsi="宋体" w:cs="宋体"/>
          <w:b w:val="0"/>
          <w:bCs w:val="0"/>
          <w:caps/>
          <w:color w:val="auto"/>
          <w:szCs w:val="32"/>
          <w:highlight w:val="none"/>
        </w:rPr>
        <w:fldChar w:fldCharType="end"/>
      </w:r>
    </w:p>
    <w:p w14:paraId="3707ADC2">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_Toc12453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rPr>
        <w:t>11. 纪律和监督</w:t>
      </w:r>
      <w:r>
        <w:rPr>
          <w:b w:val="0"/>
          <w:bCs w:val="0"/>
          <w:color w:val="auto"/>
        </w:rPr>
        <w:tab/>
      </w:r>
      <w:r>
        <w:rPr>
          <w:b w:val="0"/>
          <w:bCs w:val="0"/>
          <w:color w:val="auto"/>
        </w:rPr>
        <w:fldChar w:fldCharType="begin"/>
      </w:r>
      <w:r>
        <w:rPr>
          <w:b w:val="0"/>
          <w:bCs w:val="0"/>
          <w:color w:val="auto"/>
        </w:rPr>
        <w:instrText xml:space="preserve"> PAGEREF _Toc12453 \h </w:instrText>
      </w:r>
      <w:r>
        <w:rPr>
          <w:b w:val="0"/>
          <w:bCs w:val="0"/>
          <w:color w:val="auto"/>
        </w:rPr>
        <w:fldChar w:fldCharType="separate"/>
      </w:r>
      <w:r>
        <w:rPr>
          <w:b w:val="0"/>
          <w:bCs w:val="0"/>
          <w:color w:val="auto"/>
        </w:rPr>
        <w:t>37</w:t>
      </w:r>
      <w:r>
        <w:rPr>
          <w:b w:val="0"/>
          <w:bCs w:val="0"/>
          <w:color w:val="auto"/>
        </w:rPr>
        <w:fldChar w:fldCharType="end"/>
      </w:r>
      <w:r>
        <w:rPr>
          <w:rFonts w:hint="eastAsia" w:ascii="宋体" w:hAnsi="宋体" w:cs="宋体"/>
          <w:b w:val="0"/>
          <w:bCs w:val="0"/>
          <w:caps/>
          <w:color w:val="auto"/>
          <w:szCs w:val="32"/>
          <w:highlight w:val="none"/>
        </w:rPr>
        <w:fldChar w:fldCharType="end"/>
      </w:r>
    </w:p>
    <w:p w14:paraId="63028C43">
      <w:pPr>
        <w:pStyle w:val="27"/>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_Toc27343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rPr>
        <w:t>12. 需要补充的其他内容</w:t>
      </w:r>
      <w:r>
        <w:rPr>
          <w:b w:val="0"/>
          <w:bCs w:val="0"/>
          <w:color w:val="auto"/>
        </w:rPr>
        <w:tab/>
      </w:r>
      <w:r>
        <w:rPr>
          <w:b w:val="0"/>
          <w:bCs w:val="0"/>
          <w:color w:val="auto"/>
        </w:rPr>
        <w:fldChar w:fldCharType="begin"/>
      </w:r>
      <w:r>
        <w:rPr>
          <w:b w:val="0"/>
          <w:bCs w:val="0"/>
          <w:color w:val="auto"/>
        </w:rPr>
        <w:instrText xml:space="preserve"> PAGEREF _Toc27343 \h </w:instrText>
      </w:r>
      <w:r>
        <w:rPr>
          <w:b w:val="0"/>
          <w:bCs w:val="0"/>
          <w:color w:val="auto"/>
        </w:rPr>
        <w:fldChar w:fldCharType="separate"/>
      </w:r>
      <w:r>
        <w:rPr>
          <w:b w:val="0"/>
          <w:bCs w:val="0"/>
          <w:color w:val="auto"/>
        </w:rPr>
        <w:t>39</w:t>
      </w:r>
      <w:r>
        <w:rPr>
          <w:b w:val="0"/>
          <w:bCs w:val="0"/>
          <w:color w:val="auto"/>
        </w:rPr>
        <w:fldChar w:fldCharType="end"/>
      </w:r>
      <w:r>
        <w:rPr>
          <w:rFonts w:hint="eastAsia" w:ascii="宋体" w:hAnsi="宋体" w:cs="宋体"/>
          <w:b w:val="0"/>
          <w:bCs w:val="0"/>
          <w:caps/>
          <w:color w:val="auto"/>
          <w:szCs w:val="32"/>
          <w:highlight w:val="none"/>
        </w:rPr>
        <w:fldChar w:fldCharType="end"/>
      </w:r>
    </w:p>
    <w:p w14:paraId="1374ACD3">
      <w:pPr>
        <w:pStyle w:val="22"/>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_Toc21246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highlight w:val="none"/>
        </w:rPr>
        <w:t>第三章 资格审查</w:t>
      </w:r>
      <w:r>
        <w:rPr>
          <w:b w:val="0"/>
          <w:bCs w:val="0"/>
          <w:color w:val="auto"/>
        </w:rPr>
        <w:tab/>
      </w:r>
      <w:r>
        <w:rPr>
          <w:b w:val="0"/>
          <w:bCs w:val="0"/>
          <w:color w:val="auto"/>
        </w:rPr>
        <w:fldChar w:fldCharType="begin"/>
      </w:r>
      <w:r>
        <w:rPr>
          <w:b w:val="0"/>
          <w:bCs w:val="0"/>
          <w:color w:val="auto"/>
        </w:rPr>
        <w:instrText xml:space="preserve"> PAGEREF _Toc21246 \h </w:instrText>
      </w:r>
      <w:r>
        <w:rPr>
          <w:b w:val="0"/>
          <w:bCs w:val="0"/>
          <w:color w:val="auto"/>
        </w:rPr>
        <w:fldChar w:fldCharType="separate"/>
      </w:r>
      <w:r>
        <w:rPr>
          <w:b w:val="0"/>
          <w:bCs w:val="0"/>
          <w:color w:val="auto"/>
        </w:rPr>
        <w:t>40</w:t>
      </w:r>
      <w:r>
        <w:rPr>
          <w:b w:val="0"/>
          <w:bCs w:val="0"/>
          <w:color w:val="auto"/>
        </w:rPr>
        <w:fldChar w:fldCharType="end"/>
      </w:r>
      <w:r>
        <w:rPr>
          <w:rFonts w:hint="eastAsia" w:ascii="宋体" w:hAnsi="宋体" w:cs="宋体"/>
          <w:b w:val="0"/>
          <w:bCs w:val="0"/>
          <w:caps/>
          <w:color w:val="auto"/>
          <w:szCs w:val="32"/>
          <w:highlight w:val="none"/>
        </w:rPr>
        <w:fldChar w:fldCharType="end"/>
      </w:r>
    </w:p>
    <w:p w14:paraId="4C5FF982">
      <w:pPr>
        <w:pStyle w:val="22"/>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_Toc5659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highlight w:val="none"/>
        </w:rPr>
        <w:t>第四章 评标办法(综合评分法)</w:t>
      </w:r>
      <w:r>
        <w:rPr>
          <w:b w:val="0"/>
          <w:bCs w:val="0"/>
          <w:color w:val="auto"/>
        </w:rPr>
        <w:tab/>
      </w:r>
      <w:r>
        <w:rPr>
          <w:b w:val="0"/>
          <w:bCs w:val="0"/>
          <w:color w:val="auto"/>
        </w:rPr>
        <w:fldChar w:fldCharType="begin"/>
      </w:r>
      <w:r>
        <w:rPr>
          <w:b w:val="0"/>
          <w:bCs w:val="0"/>
          <w:color w:val="auto"/>
        </w:rPr>
        <w:instrText xml:space="preserve"> PAGEREF _Toc5659 \h </w:instrText>
      </w:r>
      <w:r>
        <w:rPr>
          <w:b w:val="0"/>
          <w:bCs w:val="0"/>
          <w:color w:val="auto"/>
        </w:rPr>
        <w:fldChar w:fldCharType="separate"/>
      </w:r>
      <w:r>
        <w:rPr>
          <w:b w:val="0"/>
          <w:bCs w:val="0"/>
          <w:color w:val="auto"/>
        </w:rPr>
        <w:t>42</w:t>
      </w:r>
      <w:r>
        <w:rPr>
          <w:b w:val="0"/>
          <w:bCs w:val="0"/>
          <w:color w:val="auto"/>
        </w:rPr>
        <w:fldChar w:fldCharType="end"/>
      </w:r>
      <w:r>
        <w:rPr>
          <w:rFonts w:hint="eastAsia" w:ascii="宋体" w:hAnsi="宋体" w:cs="宋体"/>
          <w:b w:val="0"/>
          <w:bCs w:val="0"/>
          <w:caps/>
          <w:color w:val="auto"/>
          <w:szCs w:val="32"/>
          <w:highlight w:val="none"/>
        </w:rPr>
        <w:fldChar w:fldCharType="end"/>
      </w:r>
    </w:p>
    <w:p w14:paraId="5CBC9903">
      <w:pPr>
        <w:pStyle w:val="22"/>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_Toc23219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highlight w:val="none"/>
        </w:rPr>
        <w:t>第五章 合同条款及格式</w:t>
      </w:r>
      <w:r>
        <w:rPr>
          <w:b w:val="0"/>
          <w:bCs w:val="0"/>
          <w:color w:val="auto"/>
        </w:rPr>
        <w:tab/>
      </w:r>
      <w:r>
        <w:rPr>
          <w:b w:val="0"/>
          <w:bCs w:val="0"/>
          <w:color w:val="auto"/>
        </w:rPr>
        <w:fldChar w:fldCharType="begin"/>
      </w:r>
      <w:r>
        <w:rPr>
          <w:b w:val="0"/>
          <w:bCs w:val="0"/>
          <w:color w:val="auto"/>
        </w:rPr>
        <w:instrText xml:space="preserve"> PAGEREF _Toc23219 \h </w:instrText>
      </w:r>
      <w:r>
        <w:rPr>
          <w:b w:val="0"/>
          <w:bCs w:val="0"/>
          <w:color w:val="auto"/>
        </w:rPr>
        <w:fldChar w:fldCharType="separate"/>
      </w:r>
      <w:r>
        <w:rPr>
          <w:b w:val="0"/>
          <w:bCs w:val="0"/>
          <w:color w:val="auto"/>
        </w:rPr>
        <w:t>51</w:t>
      </w:r>
      <w:r>
        <w:rPr>
          <w:b w:val="0"/>
          <w:bCs w:val="0"/>
          <w:color w:val="auto"/>
        </w:rPr>
        <w:fldChar w:fldCharType="end"/>
      </w:r>
      <w:r>
        <w:rPr>
          <w:rFonts w:hint="eastAsia" w:ascii="宋体" w:hAnsi="宋体" w:cs="宋体"/>
          <w:b w:val="0"/>
          <w:bCs w:val="0"/>
          <w:caps/>
          <w:color w:val="auto"/>
          <w:szCs w:val="32"/>
          <w:highlight w:val="none"/>
        </w:rPr>
        <w:fldChar w:fldCharType="end"/>
      </w:r>
    </w:p>
    <w:p w14:paraId="3EC9DF51">
      <w:pPr>
        <w:pStyle w:val="22"/>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_Toc8275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highlight w:val="none"/>
        </w:rPr>
        <w:t>第六章 服务内容及要求</w:t>
      </w:r>
      <w:r>
        <w:rPr>
          <w:b w:val="0"/>
          <w:bCs w:val="0"/>
          <w:color w:val="auto"/>
        </w:rPr>
        <w:tab/>
      </w:r>
      <w:r>
        <w:rPr>
          <w:b w:val="0"/>
          <w:bCs w:val="0"/>
          <w:color w:val="auto"/>
        </w:rPr>
        <w:fldChar w:fldCharType="begin"/>
      </w:r>
      <w:r>
        <w:rPr>
          <w:b w:val="0"/>
          <w:bCs w:val="0"/>
          <w:color w:val="auto"/>
        </w:rPr>
        <w:instrText xml:space="preserve"> PAGEREF _Toc8275 \h </w:instrText>
      </w:r>
      <w:r>
        <w:rPr>
          <w:b w:val="0"/>
          <w:bCs w:val="0"/>
          <w:color w:val="auto"/>
        </w:rPr>
        <w:fldChar w:fldCharType="separate"/>
      </w:r>
      <w:r>
        <w:rPr>
          <w:b w:val="0"/>
          <w:bCs w:val="0"/>
          <w:color w:val="auto"/>
        </w:rPr>
        <w:t>61</w:t>
      </w:r>
      <w:r>
        <w:rPr>
          <w:b w:val="0"/>
          <w:bCs w:val="0"/>
          <w:color w:val="auto"/>
        </w:rPr>
        <w:fldChar w:fldCharType="end"/>
      </w:r>
      <w:r>
        <w:rPr>
          <w:rFonts w:hint="eastAsia" w:ascii="宋体" w:hAnsi="宋体" w:cs="宋体"/>
          <w:b w:val="0"/>
          <w:bCs w:val="0"/>
          <w:caps/>
          <w:color w:val="auto"/>
          <w:szCs w:val="32"/>
          <w:highlight w:val="none"/>
        </w:rPr>
        <w:fldChar w:fldCharType="end"/>
      </w:r>
    </w:p>
    <w:p w14:paraId="7BC91C62">
      <w:pPr>
        <w:pStyle w:val="22"/>
        <w:keepNext w:val="0"/>
        <w:keepLines w:val="0"/>
        <w:pageBreakBefore w:val="0"/>
        <w:widowControl/>
        <w:tabs>
          <w:tab w:val="right" w:leader="dot" w:pos="941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_Toc7596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highlight w:val="none"/>
        </w:rPr>
        <w:t>第七章 投标文件格式</w:t>
      </w:r>
      <w:r>
        <w:rPr>
          <w:b w:val="0"/>
          <w:bCs w:val="0"/>
          <w:color w:val="auto"/>
        </w:rPr>
        <w:tab/>
      </w:r>
      <w:r>
        <w:rPr>
          <w:b w:val="0"/>
          <w:bCs w:val="0"/>
          <w:color w:val="auto"/>
        </w:rPr>
        <w:fldChar w:fldCharType="begin"/>
      </w:r>
      <w:r>
        <w:rPr>
          <w:b w:val="0"/>
          <w:bCs w:val="0"/>
          <w:color w:val="auto"/>
        </w:rPr>
        <w:instrText xml:space="preserve"> PAGEREF _Toc7596 \h </w:instrText>
      </w:r>
      <w:r>
        <w:rPr>
          <w:b w:val="0"/>
          <w:bCs w:val="0"/>
          <w:color w:val="auto"/>
        </w:rPr>
        <w:fldChar w:fldCharType="separate"/>
      </w:r>
      <w:r>
        <w:rPr>
          <w:b w:val="0"/>
          <w:bCs w:val="0"/>
          <w:color w:val="auto"/>
        </w:rPr>
        <w:t>84</w:t>
      </w:r>
      <w:r>
        <w:rPr>
          <w:b w:val="0"/>
          <w:bCs w:val="0"/>
          <w:color w:val="auto"/>
        </w:rPr>
        <w:fldChar w:fldCharType="end"/>
      </w:r>
      <w:r>
        <w:rPr>
          <w:rFonts w:hint="eastAsia" w:ascii="宋体" w:hAnsi="宋体" w:cs="宋体"/>
          <w:b w:val="0"/>
          <w:bCs w:val="0"/>
          <w:caps/>
          <w:color w:val="auto"/>
          <w:szCs w:val="32"/>
          <w:highlight w:val="none"/>
        </w:rPr>
        <w:fldChar w:fldCharType="end"/>
      </w:r>
    </w:p>
    <w:p w14:paraId="54A25DBA">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_Toc24997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32"/>
          <w:highlight w:val="none"/>
        </w:rPr>
        <w:t>资格审查部分</w:t>
      </w:r>
      <w:r>
        <w:rPr>
          <w:b w:val="0"/>
          <w:bCs w:val="0"/>
          <w:color w:val="auto"/>
        </w:rPr>
        <w:tab/>
      </w:r>
      <w:r>
        <w:rPr>
          <w:b w:val="0"/>
          <w:bCs w:val="0"/>
          <w:color w:val="auto"/>
        </w:rPr>
        <w:fldChar w:fldCharType="begin"/>
      </w:r>
      <w:r>
        <w:rPr>
          <w:b w:val="0"/>
          <w:bCs w:val="0"/>
          <w:color w:val="auto"/>
        </w:rPr>
        <w:instrText xml:space="preserve"> PAGEREF _Toc24997 \h </w:instrText>
      </w:r>
      <w:r>
        <w:rPr>
          <w:b w:val="0"/>
          <w:bCs w:val="0"/>
          <w:color w:val="auto"/>
        </w:rPr>
        <w:fldChar w:fldCharType="separate"/>
      </w:r>
      <w:r>
        <w:rPr>
          <w:b w:val="0"/>
          <w:bCs w:val="0"/>
          <w:color w:val="auto"/>
        </w:rPr>
        <w:t>84</w:t>
      </w:r>
      <w:r>
        <w:rPr>
          <w:b w:val="0"/>
          <w:bCs w:val="0"/>
          <w:color w:val="auto"/>
        </w:rPr>
        <w:fldChar w:fldCharType="end"/>
      </w:r>
      <w:r>
        <w:rPr>
          <w:rFonts w:hint="eastAsia" w:ascii="宋体" w:hAnsi="宋体" w:cs="宋体"/>
          <w:b w:val="0"/>
          <w:bCs w:val="0"/>
          <w:caps/>
          <w:color w:val="auto"/>
          <w:szCs w:val="32"/>
          <w:highlight w:val="none"/>
        </w:rPr>
        <w:fldChar w:fldCharType="end"/>
      </w:r>
    </w:p>
    <w:p w14:paraId="6E325BFE">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_Toc11682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一、具有独立承担民事责任的能力</w:t>
      </w:r>
      <w:r>
        <w:rPr>
          <w:b w:val="0"/>
          <w:bCs w:val="0"/>
          <w:color w:val="auto"/>
        </w:rPr>
        <w:tab/>
      </w:r>
      <w:r>
        <w:rPr>
          <w:b w:val="0"/>
          <w:bCs w:val="0"/>
          <w:color w:val="auto"/>
        </w:rPr>
        <w:fldChar w:fldCharType="begin"/>
      </w:r>
      <w:r>
        <w:rPr>
          <w:b w:val="0"/>
          <w:bCs w:val="0"/>
          <w:color w:val="auto"/>
        </w:rPr>
        <w:instrText xml:space="preserve"> PAGEREF _Toc11682 \h </w:instrText>
      </w:r>
      <w:r>
        <w:rPr>
          <w:b w:val="0"/>
          <w:bCs w:val="0"/>
          <w:color w:val="auto"/>
        </w:rPr>
        <w:fldChar w:fldCharType="separate"/>
      </w:r>
      <w:r>
        <w:rPr>
          <w:b w:val="0"/>
          <w:bCs w:val="0"/>
          <w:color w:val="auto"/>
        </w:rPr>
        <w:t>85</w:t>
      </w:r>
      <w:r>
        <w:rPr>
          <w:b w:val="0"/>
          <w:bCs w:val="0"/>
          <w:color w:val="auto"/>
        </w:rPr>
        <w:fldChar w:fldCharType="end"/>
      </w:r>
      <w:r>
        <w:rPr>
          <w:rFonts w:hint="eastAsia" w:ascii="宋体" w:hAnsi="宋体" w:cs="宋体"/>
          <w:b w:val="0"/>
          <w:bCs w:val="0"/>
          <w:caps/>
          <w:color w:val="auto"/>
          <w:szCs w:val="32"/>
          <w:highlight w:val="none"/>
        </w:rPr>
        <w:fldChar w:fldCharType="end"/>
      </w:r>
    </w:p>
    <w:p w14:paraId="62EC92BF">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_Toc24095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二、具有良好的商业信誉和健全的财务会计制度</w:t>
      </w:r>
      <w:r>
        <w:rPr>
          <w:b w:val="0"/>
          <w:bCs w:val="0"/>
          <w:color w:val="auto"/>
        </w:rPr>
        <w:tab/>
      </w:r>
      <w:r>
        <w:rPr>
          <w:b w:val="0"/>
          <w:bCs w:val="0"/>
          <w:color w:val="auto"/>
        </w:rPr>
        <w:fldChar w:fldCharType="begin"/>
      </w:r>
      <w:r>
        <w:rPr>
          <w:b w:val="0"/>
          <w:bCs w:val="0"/>
          <w:color w:val="auto"/>
        </w:rPr>
        <w:instrText xml:space="preserve"> PAGEREF _Toc24095 \h </w:instrText>
      </w:r>
      <w:r>
        <w:rPr>
          <w:b w:val="0"/>
          <w:bCs w:val="0"/>
          <w:color w:val="auto"/>
        </w:rPr>
        <w:fldChar w:fldCharType="separate"/>
      </w:r>
      <w:r>
        <w:rPr>
          <w:b w:val="0"/>
          <w:bCs w:val="0"/>
          <w:color w:val="auto"/>
        </w:rPr>
        <w:t>85</w:t>
      </w:r>
      <w:r>
        <w:rPr>
          <w:b w:val="0"/>
          <w:bCs w:val="0"/>
          <w:color w:val="auto"/>
        </w:rPr>
        <w:fldChar w:fldCharType="end"/>
      </w:r>
      <w:r>
        <w:rPr>
          <w:rFonts w:hint="eastAsia" w:ascii="宋体" w:hAnsi="宋体" w:cs="宋体"/>
          <w:b w:val="0"/>
          <w:bCs w:val="0"/>
          <w:caps/>
          <w:color w:val="auto"/>
          <w:szCs w:val="32"/>
          <w:highlight w:val="none"/>
        </w:rPr>
        <w:fldChar w:fldCharType="end"/>
      </w:r>
    </w:p>
    <w:p w14:paraId="230B6246">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_Toc15035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三、具有履行合同所必需的设备和专业技术能力</w:t>
      </w:r>
      <w:r>
        <w:rPr>
          <w:b w:val="0"/>
          <w:bCs w:val="0"/>
          <w:color w:val="auto"/>
        </w:rPr>
        <w:tab/>
      </w:r>
      <w:r>
        <w:rPr>
          <w:b w:val="0"/>
          <w:bCs w:val="0"/>
          <w:color w:val="auto"/>
        </w:rPr>
        <w:fldChar w:fldCharType="begin"/>
      </w:r>
      <w:r>
        <w:rPr>
          <w:b w:val="0"/>
          <w:bCs w:val="0"/>
          <w:color w:val="auto"/>
        </w:rPr>
        <w:instrText xml:space="preserve"> PAGEREF _Toc15035 \h </w:instrText>
      </w:r>
      <w:r>
        <w:rPr>
          <w:b w:val="0"/>
          <w:bCs w:val="0"/>
          <w:color w:val="auto"/>
        </w:rPr>
        <w:fldChar w:fldCharType="separate"/>
      </w:r>
      <w:r>
        <w:rPr>
          <w:b w:val="0"/>
          <w:bCs w:val="0"/>
          <w:color w:val="auto"/>
        </w:rPr>
        <w:t>85</w:t>
      </w:r>
      <w:r>
        <w:rPr>
          <w:b w:val="0"/>
          <w:bCs w:val="0"/>
          <w:color w:val="auto"/>
        </w:rPr>
        <w:fldChar w:fldCharType="end"/>
      </w:r>
      <w:r>
        <w:rPr>
          <w:rFonts w:hint="eastAsia" w:ascii="宋体" w:hAnsi="宋体" w:cs="宋体"/>
          <w:b w:val="0"/>
          <w:bCs w:val="0"/>
          <w:caps/>
          <w:color w:val="auto"/>
          <w:szCs w:val="32"/>
          <w:highlight w:val="none"/>
        </w:rPr>
        <w:fldChar w:fldCharType="end"/>
      </w:r>
    </w:p>
    <w:p w14:paraId="58EF79F7">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_Toc6236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四、有依法缴纳税收和社会保障资金的良好记录</w:t>
      </w:r>
      <w:r>
        <w:rPr>
          <w:b w:val="0"/>
          <w:bCs w:val="0"/>
          <w:color w:val="auto"/>
        </w:rPr>
        <w:tab/>
      </w:r>
      <w:r>
        <w:rPr>
          <w:b w:val="0"/>
          <w:bCs w:val="0"/>
          <w:color w:val="auto"/>
        </w:rPr>
        <w:fldChar w:fldCharType="begin"/>
      </w:r>
      <w:r>
        <w:rPr>
          <w:b w:val="0"/>
          <w:bCs w:val="0"/>
          <w:color w:val="auto"/>
        </w:rPr>
        <w:instrText xml:space="preserve"> PAGEREF _Toc6236 \h </w:instrText>
      </w:r>
      <w:r>
        <w:rPr>
          <w:b w:val="0"/>
          <w:bCs w:val="0"/>
          <w:color w:val="auto"/>
        </w:rPr>
        <w:fldChar w:fldCharType="separate"/>
      </w:r>
      <w:r>
        <w:rPr>
          <w:b w:val="0"/>
          <w:bCs w:val="0"/>
          <w:color w:val="auto"/>
        </w:rPr>
        <w:t>85</w:t>
      </w:r>
      <w:r>
        <w:rPr>
          <w:b w:val="0"/>
          <w:bCs w:val="0"/>
          <w:color w:val="auto"/>
        </w:rPr>
        <w:fldChar w:fldCharType="end"/>
      </w:r>
      <w:r>
        <w:rPr>
          <w:rFonts w:hint="eastAsia" w:ascii="宋体" w:hAnsi="宋体" w:cs="宋体"/>
          <w:b w:val="0"/>
          <w:bCs w:val="0"/>
          <w:caps/>
          <w:color w:val="auto"/>
          <w:szCs w:val="32"/>
          <w:highlight w:val="none"/>
        </w:rPr>
        <w:fldChar w:fldCharType="end"/>
      </w:r>
    </w:p>
    <w:p w14:paraId="7C0C4AE9">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_Toc11274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五、参加政府采购活动前三年内，在经营活动中没有重大违法记录</w:t>
      </w:r>
      <w:r>
        <w:rPr>
          <w:b w:val="0"/>
          <w:bCs w:val="0"/>
          <w:color w:val="auto"/>
        </w:rPr>
        <w:tab/>
      </w:r>
      <w:r>
        <w:rPr>
          <w:b w:val="0"/>
          <w:bCs w:val="0"/>
          <w:color w:val="auto"/>
        </w:rPr>
        <w:fldChar w:fldCharType="begin"/>
      </w:r>
      <w:r>
        <w:rPr>
          <w:b w:val="0"/>
          <w:bCs w:val="0"/>
          <w:color w:val="auto"/>
        </w:rPr>
        <w:instrText xml:space="preserve"> PAGEREF _Toc11274 \h </w:instrText>
      </w:r>
      <w:r>
        <w:rPr>
          <w:b w:val="0"/>
          <w:bCs w:val="0"/>
          <w:color w:val="auto"/>
        </w:rPr>
        <w:fldChar w:fldCharType="separate"/>
      </w:r>
      <w:r>
        <w:rPr>
          <w:b w:val="0"/>
          <w:bCs w:val="0"/>
          <w:color w:val="auto"/>
        </w:rPr>
        <w:t>86</w:t>
      </w:r>
      <w:r>
        <w:rPr>
          <w:b w:val="0"/>
          <w:bCs w:val="0"/>
          <w:color w:val="auto"/>
        </w:rPr>
        <w:fldChar w:fldCharType="end"/>
      </w:r>
      <w:r>
        <w:rPr>
          <w:rFonts w:hint="eastAsia" w:ascii="宋体" w:hAnsi="宋体" w:cs="宋体"/>
          <w:b w:val="0"/>
          <w:bCs w:val="0"/>
          <w:caps/>
          <w:color w:val="auto"/>
          <w:szCs w:val="32"/>
          <w:highlight w:val="none"/>
        </w:rPr>
        <w:fldChar w:fldCharType="end"/>
      </w:r>
    </w:p>
    <w:p w14:paraId="4BE31D30">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_Toc5757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lang w:val="en-US" w:eastAsia="zh-CN"/>
        </w:rPr>
        <w:t>六、</w:t>
      </w:r>
      <w:r>
        <w:rPr>
          <w:rFonts w:hint="eastAsia" w:ascii="宋体" w:hAnsi="宋体" w:cs="宋体"/>
          <w:b w:val="0"/>
          <w:bCs w:val="0"/>
          <w:color w:val="auto"/>
          <w:szCs w:val="28"/>
          <w:highlight w:val="none"/>
        </w:rPr>
        <w:t>法律、行政法规规定的其他条件。</w:t>
      </w:r>
      <w:r>
        <w:rPr>
          <w:b w:val="0"/>
          <w:bCs w:val="0"/>
          <w:color w:val="auto"/>
        </w:rPr>
        <w:tab/>
      </w:r>
      <w:r>
        <w:rPr>
          <w:b w:val="0"/>
          <w:bCs w:val="0"/>
          <w:color w:val="auto"/>
        </w:rPr>
        <w:fldChar w:fldCharType="begin"/>
      </w:r>
      <w:r>
        <w:rPr>
          <w:b w:val="0"/>
          <w:bCs w:val="0"/>
          <w:color w:val="auto"/>
        </w:rPr>
        <w:instrText xml:space="preserve"> PAGEREF _Toc5757 \h </w:instrText>
      </w:r>
      <w:r>
        <w:rPr>
          <w:b w:val="0"/>
          <w:bCs w:val="0"/>
          <w:color w:val="auto"/>
        </w:rPr>
        <w:fldChar w:fldCharType="separate"/>
      </w:r>
      <w:r>
        <w:rPr>
          <w:b w:val="0"/>
          <w:bCs w:val="0"/>
          <w:color w:val="auto"/>
        </w:rPr>
        <w:t>87</w:t>
      </w:r>
      <w:r>
        <w:rPr>
          <w:b w:val="0"/>
          <w:bCs w:val="0"/>
          <w:color w:val="auto"/>
        </w:rPr>
        <w:fldChar w:fldCharType="end"/>
      </w:r>
      <w:r>
        <w:rPr>
          <w:rFonts w:hint="eastAsia" w:ascii="宋体" w:hAnsi="宋体" w:cs="宋体"/>
          <w:b w:val="0"/>
          <w:bCs w:val="0"/>
          <w:caps/>
          <w:color w:val="auto"/>
          <w:szCs w:val="32"/>
          <w:highlight w:val="none"/>
        </w:rPr>
        <w:fldChar w:fldCharType="end"/>
      </w:r>
    </w:p>
    <w:p w14:paraId="6FA7F2A9">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_Toc9503 </w:instrText>
      </w:r>
      <w:r>
        <w:rPr>
          <w:rFonts w:hint="eastAsia" w:ascii="宋体" w:hAnsi="宋体" w:cs="宋体"/>
          <w:b w:val="0"/>
          <w:bCs w:val="0"/>
          <w:caps/>
          <w:color w:val="auto"/>
          <w:szCs w:val="32"/>
          <w:highlight w:val="none"/>
        </w:rPr>
        <w:fldChar w:fldCharType="separate"/>
      </w:r>
      <w:r>
        <w:rPr>
          <w:rFonts w:hint="eastAsia" w:ascii="宋体" w:hAnsi="宋体" w:eastAsia="宋体" w:cs="宋体"/>
          <w:b w:val="0"/>
          <w:bCs w:val="0"/>
          <w:color w:val="auto"/>
          <w:szCs w:val="28"/>
          <w:highlight w:val="none"/>
          <w:lang w:val="en-US" w:eastAsia="zh-CN"/>
        </w:rPr>
        <w:t>七、本项目的特定资格要求</w:t>
      </w:r>
      <w:r>
        <w:rPr>
          <w:b w:val="0"/>
          <w:bCs w:val="0"/>
          <w:color w:val="auto"/>
        </w:rPr>
        <w:tab/>
      </w:r>
      <w:r>
        <w:rPr>
          <w:b w:val="0"/>
          <w:bCs w:val="0"/>
          <w:color w:val="auto"/>
        </w:rPr>
        <w:fldChar w:fldCharType="begin"/>
      </w:r>
      <w:r>
        <w:rPr>
          <w:b w:val="0"/>
          <w:bCs w:val="0"/>
          <w:color w:val="auto"/>
        </w:rPr>
        <w:instrText xml:space="preserve"> PAGEREF _Toc9503 \h </w:instrText>
      </w:r>
      <w:r>
        <w:rPr>
          <w:b w:val="0"/>
          <w:bCs w:val="0"/>
          <w:color w:val="auto"/>
        </w:rPr>
        <w:fldChar w:fldCharType="separate"/>
      </w:r>
      <w:r>
        <w:rPr>
          <w:b w:val="0"/>
          <w:bCs w:val="0"/>
          <w:color w:val="auto"/>
        </w:rPr>
        <w:t>88</w:t>
      </w:r>
      <w:r>
        <w:rPr>
          <w:b w:val="0"/>
          <w:bCs w:val="0"/>
          <w:color w:val="auto"/>
        </w:rPr>
        <w:fldChar w:fldCharType="end"/>
      </w:r>
      <w:r>
        <w:rPr>
          <w:rFonts w:hint="eastAsia" w:ascii="宋体" w:hAnsi="宋体" w:cs="宋体"/>
          <w:b w:val="0"/>
          <w:bCs w:val="0"/>
          <w:caps/>
          <w:color w:val="auto"/>
          <w:szCs w:val="32"/>
          <w:highlight w:val="none"/>
        </w:rPr>
        <w:fldChar w:fldCharType="end"/>
      </w:r>
    </w:p>
    <w:p w14:paraId="0AF27B3F">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_Toc5116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32"/>
          <w:highlight w:val="none"/>
        </w:rPr>
        <w:t>商务技术部分</w:t>
      </w:r>
      <w:r>
        <w:rPr>
          <w:b w:val="0"/>
          <w:bCs w:val="0"/>
          <w:color w:val="auto"/>
        </w:rPr>
        <w:tab/>
      </w:r>
      <w:r>
        <w:rPr>
          <w:b w:val="0"/>
          <w:bCs w:val="0"/>
          <w:color w:val="auto"/>
        </w:rPr>
        <w:fldChar w:fldCharType="begin"/>
      </w:r>
      <w:r>
        <w:rPr>
          <w:b w:val="0"/>
          <w:bCs w:val="0"/>
          <w:color w:val="auto"/>
        </w:rPr>
        <w:instrText xml:space="preserve"> PAGEREF _Toc5116 \h </w:instrText>
      </w:r>
      <w:r>
        <w:rPr>
          <w:b w:val="0"/>
          <w:bCs w:val="0"/>
          <w:color w:val="auto"/>
        </w:rPr>
        <w:fldChar w:fldCharType="separate"/>
      </w:r>
      <w:r>
        <w:rPr>
          <w:b w:val="0"/>
          <w:bCs w:val="0"/>
          <w:color w:val="auto"/>
        </w:rPr>
        <w:t>89</w:t>
      </w:r>
      <w:r>
        <w:rPr>
          <w:b w:val="0"/>
          <w:bCs w:val="0"/>
          <w:color w:val="auto"/>
        </w:rPr>
        <w:fldChar w:fldCharType="end"/>
      </w:r>
      <w:r>
        <w:rPr>
          <w:rFonts w:hint="eastAsia" w:ascii="宋体" w:hAnsi="宋体" w:cs="宋体"/>
          <w:b w:val="0"/>
          <w:bCs w:val="0"/>
          <w:caps/>
          <w:color w:val="auto"/>
          <w:szCs w:val="32"/>
          <w:highlight w:val="none"/>
        </w:rPr>
        <w:fldChar w:fldCharType="end"/>
      </w:r>
    </w:p>
    <w:p w14:paraId="4E93406D">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_Toc10504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一、开标一览表</w:t>
      </w:r>
      <w:r>
        <w:rPr>
          <w:b w:val="0"/>
          <w:bCs w:val="0"/>
          <w:color w:val="auto"/>
        </w:rPr>
        <w:tab/>
      </w:r>
      <w:r>
        <w:rPr>
          <w:b w:val="0"/>
          <w:bCs w:val="0"/>
          <w:color w:val="auto"/>
        </w:rPr>
        <w:fldChar w:fldCharType="begin"/>
      </w:r>
      <w:r>
        <w:rPr>
          <w:b w:val="0"/>
          <w:bCs w:val="0"/>
          <w:color w:val="auto"/>
        </w:rPr>
        <w:instrText xml:space="preserve"> PAGEREF _Toc10504 \h </w:instrText>
      </w:r>
      <w:r>
        <w:rPr>
          <w:b w:val="0"/>
          <w:bCs w:val="0"/>
          <w:color w:val="auto"/>
        </w:rPr>
        <w:fldChar w:fldCharType="separate"/>
      </w:r>
      <w:r>
        <w:rPr>
          <w:b w:val="0"/>
          <w:bCs w:val="0"/>
          <w:color w:val="auto"/>
        </w:rPr>
        <w:t>90</w:t>
      </w:r>
      <w:r>
        <w:rPr>
          <w:b w:val="0"/>
          <w:bCs w:val="0"/>
          <w:color w:val="auto"/>
        </w:rPr>
        <w:fldChar w:fldCharType="end"/>
      </w:r>
      <w:r>
        <w:rPr>
          <w:rFonts w:hint="eastAsia" w:ascii="宋体" w:hAnsi="宋体" w:cs="宋体"/>
          <w:b w:val="0"/>
          <w:bCs w:val="0"/>
          <w:caps/>
          <w:color w:val="auto"/>
          <w:szCs w:val="32"/>
          <w:highlight w:val="none"/>
        </w:rPr>
        <w:fldChar w:fldCharType="end"/>
      </w:r>
    </w:p>
    <w:p w14:paraId="64B3E8FD">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_Toc28454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二、投标函</w:t>
      </w:r>
      <w:r>
        <w:rPr>
          <w:b w:val="0"/>
          <w:bCs w:val="0"/>
          <w:color w:val="auto"/>
        </w:rPr>
        <w:tab/>
      </w:r>
      <w:r>
        <w:rPr>
          <w:b w:val="0"/>
          <w:bCs w:val="0"/>
          <w:color w:val="auto"/>
        </w:rPr>
        <w:fldChar w:fldCharType="begin"/>
      </w:r>
      <w:r>
        <w:rPr>
          <w:b w:val="0"/>
          <w:bCs w:val="0"/>
          <w:color w:val="auto"/>
        </w:rPr>
        <w:instrText xml:space="preserve"> PAGEREF _Toc28454 \h </w:instrText>
      </w:r>
      <w:r>
        <w:rPr>
          <w:b w:val="0"/>
          <w:bCs w:val="0"/>
          <w:color w:val="auto"/>
        </w:rPr>
        <w:fldChar w:fldCharType="separate"/>
      </w:r>
      <w:r>
        <w:rPr>
          <w:b w:val="0"/>
          <w:bCs w:val="0"/>
          <w:color w:val="auto"/>
        </w:rPr>
        <w:t>91</w:t>
      </w:r>
      <w:r>
        <w:rPr>
          <w:b w:val="0"/>
          <w:bCs w:val="0"/>
          <w:color w:val="auto"/>
        </w:rPr>
        <w:fldChar w:fldCharType="end"/>
      </w:r>
      <w:r>
        <w:rPr>
          <w:rFonts w:hint="eastAsia" w:ascii="宋体" w:hAnsi="宋体" w:cs="宋体"/>
          <w:b w:val="0"/>
          <w:bCs w:val="0"/>
          <w:caps/>
          <w:color w:val="auto"/>
          <w:szCs w:val="32"/>
          <w:highlight w:val="none"/>
        </w:rPr>
        <w:fldChar w:fldCharType="end"/>
      </w:r>
    </w:p>
    <w:p w14:paraId="593D1615">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_Toc20087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三、法定代表人(单位负责人)身份证明书</w:t>
      </w:r>
      <w:r>
        <w:rPr>
          <w:b w:val="0"/>
          <w:bCs w:val="0"/>
          <w:color w:val="auto"/>
        </w:rPr>
        <w:tab/>
      </w:r>
      <w:r>
        <w:rPr>
          <w:b w:val="0"/>
          <w:bCs w:val="0"/>
          <w:color w:val="auto"/>
        </w:rPr>
        <w:fldChar w:fldCharType="begin"/>
      </w:r>
      <w:r>
        <w:rPr>
          <w:b w:val="0"/>
          <w:bCs w:val="0"/>
          <w:color w:val="auto"/>
        </w:rPr>
        <w:instrText xml:space="preserve"> PAGEREF _Toc20087 \h </w:instrText>
      </w:r>
      <w:r>
        <w:rPr>
          <w:b w:val="0"/>
          <w:bCs w:val="0"/>
          <w:color w:val="auto"/>
        </w:rPr>
        <w:fldChar w:fldCharType="separate"/>
      </w:r>
      <w:r>
        <w:rPr>
          <w:b w:val="0"/>
          <w:bCs w:val="0"/>
          <w:color w:val="auto"/>
        </w:rPr>
        <w:t>92</w:t>
      </w:r>
      <w:r>
        <w:rPr>
          <w:b w:val="0"/>
          <w:bCs w:val="0"/>
          <w:color w:val="auto"/>
        </w:rPr>
        <w:fldChar w:fldCharType="end"/>
      </w:r>
      <w:r>
        <w:rPr>
          <w:rFonts w:hint="eastAsia" w:ascii="宋体" w:hAnsi="宋体" w:cs="宋体"/>
          <w:b w:val="0"/>
          <w:bCs w:val="0"/>
          <w:caps/>
          <w:color w:val="auto"/>
          <w:szCs w:val="32"/>
          <w:highlight w:val="none"/>
        </w:rPr>
        <w:fldChar w:fldCharType="end"/>
      </w:r>
    </w:p>
    <w:p w14:paraId="5FC74463">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_Toc5940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四、授权委托书</w:t>
      </w:r>
      <w:r>
        <w:rPr>
          <w:b w:val="0"/>
          <w:bCs w:val="0"/>
          <w:color w:val="auto"/>
        </w:rPr>
        <w:tab/>
      </w:r>
      <w:r>
        <w:rPr>
          <w:b w:val="0"/>
          <w:bCs w:val="0"/>
          <w:color w:val="auto"/>
        </w:rPr>
        <w:fldChar w:fldCharType="begin"/>
      </w:r>
      <w:r>
        <w:rPr>
          <w:b w:val="0"/>
          <w:bCs w:val="0"/>
          <w:color w:val="auto"/>
        </w:rPr>
        <w:instrText xml:space="preserve"> PAGEREF _Toc5940 \h </w:instrText>
      </w:r>
      <w:r>
        <w:rPr>
          <w:b w:val="0"/>
          <w:bCs w:val="0"/>
          <w:color w:val="auto"/>
        </w:rPr>
        <w:fldChar w:fldCharType="separate"/>
      </w:r>
      <w:r>
        <w:rPr>
          <w:b w:val="0"/>
          <w:bCs w:val="0"/>
          <w:color w:val="auto"/>
        </w:rPr>
        <w:t>93</w:t>
      </w:r>
      <w:r>
        <w:rPr>
          <w:b w:val="0"/>
          <w:bCs w:val="0"/>
          <w:color w:val="auto"/>
        </w:rPr>
        <w:fldChar w:fldCharType="end"/>
      </w:r>
      <w:r>
        <w:rPr>
          <w:rFonts w:hint="eastAsia" w:ascii="宋体" w:hAnsi="宋体" w:cs="宋体"/>
          <w:b w:val="0"/>
          <w:bCs w:val="0"/>
          <w:caps/>
          <w:color w:val="auto"/>
          <w:szCs w:val="32"/>
          <w:highlight w:val="none"/>
        </w:rPr>
        <w:fldChar w:fldCharType="end"/>
      </w:r>
    </w:p>
    <w:p w14:paraId="603C7DFD">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_Toc21986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五、投标人基本情况表</w:t>
      </w:r>
      <w:r>
        <w:rPr>
          <w:b w:val="0"/>
          <w:bCs w:val="0"/>
          <w:color w:val="auto"/>
        </w:rPr>
        <w:tab/>
      </w:r>
      <w:r>
        <w:rPr>
          <w:b w:val="0"/>
          <w:bCs w:val="0"/>
          <w:color w:val="auto"/>
        </w:rPr>
        <w:fldChar w:fldCharType="begin"/>
      </w:r>
      <w:r>
        <w:rPr>
          <w:b w:val="0"/>
          <w:bCs w:val="0"/>
          <w:color w:val="auto"/>
        </w:rPr>
        <w:instrText xml:space="preserve"> PAGEREF _Toc21986 \h </w:instrText>
      </w:r>
      <w:r>
        <w:rPr>
          <w:b w:val="0"/>
          <w:bCs w:val="0"/>
          <w:color w:val="auto"/>
        </w:rPr>
        <w:fldChar w:fldCharType="separate"/>
      </w:r>
      <w:r>
        <w:rPr>
          <w:b w:val="0"/>
          <w:bCs w:val="0"/>
          <w:color w:val="auto"/>
        </w:rPr>
        <w:t>94</w:t>
      </w:r>
      <w:r>
        <w:rPr>
          <w:b w:val="0"/>
          <w:bCs w:val="0"/>
          <w:color w:val="auto"/>
        </w:rPr>
        <w:fldChar w:fldCharType="end"/>
      </w:r>
      <w:r>
        <w:rPr>
          <w:rFonts w:hint="eastAsia" w:ascii="宋体" w:hAnsi="宋体" w:cs="宋体"/>
          <w:b w:val="0"/>
          <w:bCs w:val="0"/>
          <w:caps/>
          <w:color w:val="auto"/>
          <w:szCs w:val="32"/>
          <w:highlight w:val="none"/>
        </w:rPr>
        <w:fldChar w:fldCharType="end"/>
      </w:r>
    </w:p>
    <w:p w14:paraId="1621F881">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_Toc10331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六、投标保证金</w:t>
      </w:r>
      <w:r>
        <w:rPr>
          <w:b w:val="0"/>
          <w:bCs w:val="0"/>
          <w:color w:val="auto"/>
        </w:rPr>
        <w:tab/>
      </w:r>
      <w:r>
        <w:rPr>
          <w:b w:val="0"/>
          <w:bCs w:val="0"/>
          <w:color w:val="auto"/>
        </w:rPr>
        <w:fldChar w:fldCharType="begin"/>
      </w:r>
      <w:r>
        <w:rPr>
          <w:b w:val="0"/>
          <w:bCs w:val="0"/>
          <w:color w:val="auto"/>
        </w:rPr>
        <w:instrText xml:space="preserve"> PAGEREF _Toc10331 \h </w:instrText>
      </w:r>
      <w:r>
        <w:rPr>
          <w:b w:val="0"/>
          <w:bCs w:val="0"/>
          <w:color w:val="auto"/>
        </w:rPr>
        <w:fldChar w:fldCharType="separate"/>
      </w:r>
      <w:r>
        <w:rPr>
          <w:b w:val="0"/>
          <w:bCs w:val="0"/>
          <w:color w:val="auto"/>
        </w:rPr>
        <w:t>95</w:t>
      </w:r>
      <w:r>
        <w:rPr>
          <w:b w:val="0"/>
          <w:bCs w:val="0"/>
          <w:color w:val="auto"/>
        </w:rPr>
        <w:fldChar w:fldCharType="end"/>
      </w:r>
      <w:r>
        <w:rPr>
          <w:rFonts w:hint="eastAsia" w:ascii="宋体" w:hAnsi="宋体" w:cs="宋体"/>
          <w:b w:val="0"/>
          <w:bCs w:val="0"/>
          <w:caps/>
          <w:color w:val="auto"/>
          <w:szCs w:val="32"/>
          <w:highlight w:val="none"/>
        </w:rPr>
        <w:fldChar w:fldCharType="end"/>
      </w:r>
    </w:p>
    <w:p w14:paraId="1A89520F">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_Toc14808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七、商务条款偏离表</w:t>
      </w:r>
      <w:r>
        <w:rPr>
          <w:b w:val="0"/>
          <w:bCs w:val="0"/>
          <w:color w:val="auto"/>
        </w:rPr>
        <w:tab/>
      </w:r>
      <w:r>
        <w:rPr>
          <w:b w:val="0"/>
          <w:bCs w:val="0"/>
          <w:color w:val="auto"/>
        </w:rPr>
        <w:fldChar w:fldCharType="begin"/>
      </w:r>
      <w:r>
        <w:rPr>
          <w:b w:val="0"/>
          <w:bCs w:val="0"/>
          <w:color w:val="auto"/>
        </w:rPr>
        <w:instrText xml:space="preserve"> PAGEREF _Toc14808 \h </w:instrText>
      </w:r>
      <w:r>
        <w:rPr>
          <w:b w:val="0"/>
          <w:bCs w:val="0"/>
          <w:color w:val="auto"/>
        </w:rPr>
        <w:fldChar w:fldCharType="separate"/>
      </w:r>
      <w:r>
        <w:rPr>
          <w:b w:val="0"/>
          <w:bCs w:val="0"/>
          <w:color w:val="auto"/>
        </w:rPr>
        <w:t>96</w:t>
      </w:r>
      <w:r>
        <w:rPr>
          <w:b w:val="0"/>
          <w:bCs w:val="0"/>
          <w:color w:val="auto"/>
        </w:rPr>
        <w:fldChar w:fldCharType="end"/>
      </w:r>
      <w:r>
        <w:rPr>
          <w:rFonts w:hint="eastAsia" w:ascii="宋体" w:hAnsi="宋体" w:cs="宋体"/>
          <w:b w:val="0"/>
          <w:bCs w:val="0"/>
          <w:caps/>
          <w:color w:val="auto"/>
          <w:szCs w:val="32"/>
          <w:highlight w:val="none"/>
        </w:rPr>
        <w:fldChar w:fldCharType="end"/>
      </w:r>
    </w:p>
    <w:p w14:paraId="78DF6A43">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_Toc3415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kern w:val="2"/>
          <w:szCs w:val="28"/>
          <w:highlight w:val="none"/>
        </w:rPr>
        <w:t>八、分项报价表</w:t>
      </w:r>
      <w:r>
        <w:rPr>
          <w:b w:val="0"/>
          <w:bCs w:val="0"/>
          <w:color w:val="auto"/>
        </w:rPr>
        <w:tab/>
      </w:r>
      <w:r>
        <w:rPr>
          <w:b w:val="0"/>
          <w:bCs w:val="0"/>
          <w:color w:val="auto"/>
        </w:rPr>
        <w:fldChar w:fldCharType="begin"/>
      </w:r>
      <w:r>
        <w:rPr>
          <w:b w:val="0"/>
          <w:bCs w:val="0"/>
          <w:color w:val="auto"/>
        </w:rPr>
        <w:instrText xml:space="preserve"> PAGEREF _Toc3415 \h </w:instrText>
      </w:r>
      <w:r>
        <w:rPr>
          <w:b w:val="0"/>
          <w:bCs w:val="0"/>
          <w:color w:val="auto"/>
        </w:rPr>
        <w:fldChar w:fldCharType="separate"/>
      </w:r>
      <w:r>
        <w:rPr>
          <w:b w:val="0"/>
          <w:bCs w:val="0"/>
          <w:color w:val="auto"/>
        </w:rPr>
        <w:t>97</w:t>
      </w:r>
      <w:r>
        <w:rPr>
          <w:b w:val="0"/>
          <w:bCs w:val="0"/>
          <w:color w:val="auto"/>
        </w:rPr>
        <w:fldChar w:fldCharType="end"/>
      </w:r>
      <w:r>
        <w:rPr>
          <w:rFonts w:hint="eastAsia" w:ascii="宋体" w:hAnsi="宋体" w:cs="宋体"/>
          <w:b w:val="0"/>
          <w:bCs w:val="0"/>
          <w:caps/>
          <w:color w:val="auto"/>
          <w:szCs w:val="32"/>
          <w:highlight w:val="none"/>
        </w:rPr>
        <w:fldChar w:fldCharType="end"/>
      </w:r>
    </w:p>
    <w:p w14:paraId="7A3425FB">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_Toc21225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lang w:val="en-US" w:eastAsia="zh-CN"/>
        </w:rPr>
        <w:t>九</w:t>
      </w:r>
      <w:r>
        <w:rPr>
          <w:rFonts w:hint="eastAsia" w:ascii="宋体" w:hAnsi="宋体" w:cs="宋体"/>
          <w:b w:val="0"/>
          <w:bCs w:val="0"/>
          <w:color w:val="auto"/>
          <w:szCs w:val="28"/>
          <w:highlight w:val="none"/>
        </w:rPr>
        <w:t>、配送服务方案</w:t>
      </w:r>
      <w:r>
        <w:rPr>
          <w:b w:val="0"/>
          <w:bCs w:val="0"/>
          <w:color w:val="auto"/>
        </w:rPr>
        <w:tab/>
      </w:r>
      <w:r>
        <w:rPr>
          <w:b w:val="0"/>
          <w:bCs w:val="0"/>
          <w:color w:val="auto"/>
        </w:rPr>
        <w:fldChar w:fldCharType="begin"/>
      </w:r>
      <w:r>
        <w:rPr>
          <w:b w:val="0"/>
          <w:bCs w:val="0"/>
          <w:color w:val="auto"/>
        </w:rPr>
        <w:instrText xml:space="preserve"> PAGEREF _Toc21225 \h </w:instrText>
      </w:r>
      <w:r>
        <w:rPr>
          <w:b w:val="0"/>
          <w:bCs w:val="0"/>
          <w:color w:val="auto"/>
        </w:rPr>
        <w:fldChar w:fldCharType="separate"/>
      </w:r>
      <w:r>
        <w:rPr>
          <w:b w:val="0"/>
          <w:bCs w:val="0"/>
          <w:color w:val="auto"/>
        </w:rPr>
        <w:t>98</w:t>
      </w:r>
      <w:r>
        <w:rPr>
          <w:b w:val="0"/>
          <w:bCs w:val="0"/>
          <w:color w:val="auto"/>
        </w:rPr>
        <w:fldChar w:fldCharType="end"/>
      </w:r>
      <w:r>
        <w:rPr>
          <w:rFonts w:hint="eastAsia" w:ascii="宋体" w:hAnsi="宋体" w:cs="宋体"/>
          <w:b w:val="0"/>
          <w:bCs w:val="0"/>
          <w:caps/>
          <w:color w:val="auto"/>
          <w:szCs w:val="32"/>
          <w:highlight w:val="none"/>
        </w:rPr>
        <w:fldChar w:fldCharType="end"/>
      </w:r>
    </w:p>
    <w:p w14:paraId="1C94DF72">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_Toc31281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lang w:val="en-US" w:eastAsia="zh-CN"/>
        </w:rPr>
        <w:t>十</w:t>
      </w:r>
      <w:r>
        <w:rPr>
          <w:rFonts w:hint="eastAsia" w:ascii="宋体" w:hAnsi="宋体" w:cs="宋体"/>
          <w:b w:val="0"/>
          <w:bCs w:val="0"/>
          <w:color w:val="auto"/>
          <w:szCs w:val="28"/>
          <w:highlight w:val="none"/>
        </w:rPr>
        <w:t>、服务质量承诺及保证措施、违约处罚措施</w:t>
      </w:r>
      <w:r>
        <w:rPr>
          <w:b w:val="0"/>
          <w:bCs w:val="0"/>
          <w:color w:val="auto"/>
        </w:rPr>
        <w:tab/>
      </w:r>
      <w:r>
        <w:rPr>
          <w:b w:val="0"/>
          <w:bCs w:val="0"/>
          <w:color w:val="auto"/>
        </w:rPr>
        <w:fldChar w:fldCharType="begin"/>
      </w:r>
      <w:r>
        <w:rPr>
          <w:b w:val="0"/>
          <w:bCs w:val="0"/>
          <w:color w:val="auto"/>
        </w:rPr>
        <w:instrText xml:space="preserve"> PAGEREF _Toc31281 \h </w:instrText>
      </w:r>
      <w:r>
        <w:rPr>
          <w:b w:val="0"/>
          <w:bCs w:val="0"/>
          <w:color w:val="auto"/>
        </w:rPr>
        <w:fldChar w:fldCharType="separate"/>
      </w:r>
      <w:r>
        <w:rPr>
          <w:b w:val="0"/>
          <w:bCs w:val="0"/>
          <w:color w:val="auto"/>
        </w:rPr>
        <w:t>98</w:t>
      </w:r>
      <w:r>
        <w:rPr>
          <w:b w:val="0"/>
          <w:bCs w:val="0"/>
          <w:color w:val="auto"/>
        </w:rPr>
        <w:fldChar w:fldCharType="end"/>
      </w:r>
      <w:r>
        <w:rPr>
          <w:rFonts w:hint="eastAsia" w:ascii="宋体" w:hAnsi="宋体" w:cs="宋体"/>
          <w:b w:val="0"/>
          <w:bCs w:val="0"/>
          <w:caps/>
          <w:color w:val="auto"/>
          <w:szCs w:val="32"/>
          <w:highlight w:val="none"/>
        </w:rPr>
        <w:fldChar w:fldCharType="end"/>
      </w:r>
    </w:p>
    <w:p w14:paraId="2BAE41BA">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_Toc13260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lang w:val="en-US" w:eastAsia="zh-CN"/>
        </w:rPr>
        <w:t>十一</w:t>
      </w:r>
      <w:r>
        <w:rPr>
          <w:rFonts w:hint="eastAsia" w:ascii="宋体" w:hAnsi="宋体" w:cs="宋体"/>
          <w:b w:val="0"/>
          <w:bCs w:val="0"/>
          <w:color w:val="auto"/>
          <w:szCs w:val="28"/>
          <w:highlight w:val="none"/>
        </w:rPr>
        <w:t>、应急处理方案</w:t>
      </w:r>
      <w:r>
        <w:rPr>
          <w:b w:val="0"/>
          <w:bCs w:val="0"/>
          <w:color w:val="auto"/>
        </w:rPr>
        <w:tab/>
      </w:r>
      <w:r>
        <w:rPr>
          <w:b w:val="0"/>
          <w:bCs w:val="0"/>
          <w:color w:val="auto"/>
        </w:rPr>
        <w:fldChar w:fldCharType="begin"/>
      </w:r>
      <w:r>
        <w:rPr>
          <w:b w:val="0"/>
          <w:bCs w:val="0"/>
          <w:color w:val="auto"/>
        </w:rPr>
        <w:instrText xml:space="preserve"> PAGEREF _Toc13260 \h </w:instrText>
      </w:r>
      <w:r>
        <w:rPr>
          <w:b w:val="0"/>
          <w:bCs w:val="0"/>
          <w:color w:val="auto"/>
        </w:rPr>
        <w:fldChar w:fldCharType="separate"/>
      </w:r>
      <w:r>
        <w:rPr>
          <w:b w:val="0"/>
          <w:bCs w:val="0"/>
          <w:color w:val="auto"/>
        </w:rPr>
        <w:t>98</w:t>
      </w:r>
      <w:r>
        <w:rPr>
          <w:b w:val="0"/>
          <w:bCs w:val="0"/>
          <w:color w:val="auto"/>
        </w:rPr>
        <w:fldChar w:fldCharType="end"/>
      </w:r>
      <w:r>
        <w:rPr>
          <w:rFonts w:hint="eastAsia" w:ascii="宋体" w:hAnsi="宋体" w:cs="宋体"/>
          <w:b w:val="0"/>
          <w:bCs w:val="0"/>
          <w:caps/>
          <w:color w:val="auto"/>
          <w:szCs w:val="32"/>
          <w:highlight w:val="none"/>
        </w:rPr>
        <w:fldChar w:fldCharType="end"/>
      </w:r>
    </w:p>
    <w:p w14:paraId="5FBDEB1A">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_Toc29268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lang w:val="en-US" w:eastAsia="zh-CN"/>
        </w:rPr>
        <w:t>十二</w:t>
      </w:r>
      <w:r>
        <w:rPr>
          <w:rFonts w:hint="eastAsia" w:ascii="宋体" w:hAnsi="宋体" w:cs="宋体"/>
          <w:b w:val="0"/>
          <w:bCs w:val="0"/>
          <w:color w:val="auto"/>
          <w:szCs w:val="28"/>
          <w:highlight w:val="none"/>
        </w:rPr>
        <w:t>、售后服务方案</w:t>
      </w:r>
      <w:r>
        <w:rPr>
          <w:b w:val="0"/>
          <w:bCs w:val="0"/>
          <w:color w:val="auto"/>
        </w:rPr>
        <w:tab/>
      </w:r>
      <w:r>
        <w:rPr>
          <w:b w:val="0"/>
          <w:bCs w:val="0"/>
          <w:color w:val="auto"/>
        </w:rPr>
        <w:fldChar w:fldCharType="begin"/>
      </w:r>
      <w:r>
        <w:rPr>
          <w:b w:val="0"/>
          <w:bCs w:val="0"/>
          <w:color w:val="auto"/>
        </w:rPr>
        <w:instrText xml:space="preserve"> PAGEREF _Toc29268 \h </w:instrText>
      </w:r>
      <w:r>
        <w:rPr>
          <w:b w:val="0"/>
          <w:bCs w:val="0"/>
          <w:color w:val="auto"/>
        </w:rPr>
        <w:fldChar w:fldCharType="separate"/>
      </w:r>
      <w:r>
        <w:rPr>
          <w:b w:val="0"/>
          <w:bCs w:val="0"/>
          <w:color w:val="auto"/>
        </w:rPr>
        <w:t>98</w:t>
      </w:r>
      <w:r>
        <w:rPr>
          <w:b w:val="0"/>
          <w:bCs w:val="0"/>
          <w:color w:val="auto"/>
        </w:rPr>
        <w:fldChar w:fldCharType="end"/>
      </w:r>
      <w:r>
        <w:rPr>
          <w:rFonts w:hint="eastAsia" w:ascii="宋体" w:hAnsi="宋体" w:cs="宋体"/>
          <w:b w:val="0"/>
          <w:bCs w:val="0"/>
          <w:caps/>
          <w:color w:val="auto"/>
          <w:szCs w:val="32"/>
          <w:highlight w:val="none"/>
        </w:rPr>
        <w:fldChar w:fldCharType="end"/>
      </w:r>
    </w:p>
    <w:p w14:paraId="6AAC2EC6">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_Toc18340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lang w:val="en-US" w:eastAsia="zh-CN"/>
        </w:rPr>
        <w:t>十三</w:t>
      </w:r>
      <w:r>
        <w:rPr>
          <w:rFonts w:hint="eastAsia" w:ascii="宋体" w:hAnsi="宋体" w:cs="宋体"/>
          <w:b w:val="0"/>
          <w:bCs w:val="0"/>
          <w:color w:val="auto"/>
          <w:szCs w:val="28"/>
          <w:highlight w:val="none"/>
        </w:rPr>
        <w:t>、技术培训计划及措施</w:t>
      </w:r>
      <w:r>
        <w:rPr>
          <w:b w:val="0"/>
          <w:bCs w:val="0"/>
          <w:color w:val="auto"/>
        </w:rPr>
        <w:tab/>
      </w:r>
      <w:r>
        <w:rPr>
          <w:b w:val="0"/>
          <w:bCs w:val="0"/>
          <w:color w:val="auto"/>
        </w:rPr>
        <w:fldChar w:fldCharType="begin"/>
      </w:r>
      <w:r>
        <w:rPr>
          <w:b w:val="0"/>
          <w:bCs w:val="0"/>
          <w:color w:val="auto"/>
        </w:rPr>
        <w:instrText xml:space="preserve"> PAGEREF _Toc18340 \h </w:instrText>
      </w:r>
      <w:r>
        <w:rPr>
          <w:b w:val="0"/>
          <w:bCs w:val="0"/>
          <w:color w:val="auto"/>
        </w:rPr>
        <w:fldChar w:fldCharType="separate"/>
      </w:r>
      <w:r>
        <w:rPr>
          <w:b w:val="0"/>
          <w:bCs w:val="0"/>
          <w:color w:val="auto"/>
        </w:rPr>
        <w:t>98</w:t>
      </w:r>
      <w:r>
        <w:rPr>
          <w:b w:val="0"/>
          <w:bCs w:val="0"/>
          <w:color w:val="auto"/>
        </w:rPr>
        <w:fldChar w:fldCharType="end"/>
      </w:r>
      <w:r>
        <w:rPr>
          <w:rFonts w:hint="eastAsia" w:ascii="宋体" w:hAnsi="宋体" w:cs="宋体"/>
          <w:b w:val="0"/>
          <w:bCs w:val="0"/>
          <w:caps/>
          <w:color w:val="auto"/>
          <w:szCs w:val="32"/>
          <w:highlight w:val="none"/>
        </w:rPr>
        <w:fldChar w:fldCharType="end"/>
      </w:r>
    </w:p>
    <w:p w14:paraId="1FEDFF71">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_Toc23597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lang w:val="en-US" w:eastAsia="zh-CN"/>
        </w:rPr>
        <w:t>十四</w:t>
      </w:r>
      <w:r>
        <w:rPr>
          <w:rFonts w:hint="eastAsia" w:ascii="宋体" w:hAnsi="宋体" w:cs="宋体"/>
          <w:b w:val="0"/>
          <w:bCs w:val="0"/>
          <w:color w:val="auto"/>
          <w:szCs w:val="28"/>
          <w:highlight w:val="none"/>
        </w:rPr>
        <w:t>、仓储能力</w:t>
      </w:r>
      <w:r>
        <w:rPr>
          <w:b w:val="0"/>
          <w:bCs w:val="0"/>
          <w:color w:val="auto"/>
        </w:rPr>
        <w:tab/>
      </w:r>
      <w:r>
        <w:rPr>
          <w:b w:val="0"/>
          <w:bCs w:val="0"/>
          <w:color w:val="auto"/>
        </w:rPr>
        <w:fldChar w:fldCharType="begin"/>
      </w:r>
      <w:r>
        <w:rPr>
          <w:b w:val="0"/>
          <w:bCs w:val="0"/>
          <w:color w:val="auto"/>
        </w:rPr>
        <w:instrText xml:space="preserve"> PAGEREF _Toc23597 \h </w:instrText>
      </w:r>
      <w:r>
        <w:rPr>
          <w:b w:val="0"/>
          <w:bCs w:val="0"/>
          <w:color w:val="auto"/>
        </w:rPr>
        <w:fldChar w:fldCharType="separate"/>
      </w:r>
      <w:r>
        <w:rPr>
          <w:b w:val="0"/>
          <w:bCs w:val="0"/>
          <w:color w:val="auto"/>
        </w:rPr>
        <w:t>98</w:t>
      </w:r>
      <w:r>
        <w:rPr>
          <w:b w:val="0"/>
          <w:bCs w:val="0"/>
          <w:color w:val="auto"/>
        </w:rPr>
        <w:fldChar w:fldCharType="end"/>
      </w:r>
      <w:r>
        <w:rPr>
          <w:rFonts w:hint="eastAsia" w:ascii="宋体" w:hAnsi="宋体" w:cs="宋体"/>
          <w:b w:val="0"/>
          <w:bCs w:val="0"/>
          <w:caps/>
          <w:color w:val="auto"/>
          <w:szCs w:val="32"/>
          <w:highlight w:val="none"/>
        </w:rPr>
        <w:fldChar w:fldCharType="end"/>
      </w:r>
    </w:p>
    <w:p w14:paraId="42B69BB8">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_Toc19354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lang w:val="en-US" w:eastAsia="zh-CN"/>
        </w:rPr>
        <w:t>十五</w:t>
      </w:r>
      <w:r>
        <w:rPr>
          <w:rFonts w:hint="eastAsia" w:ascii="宋体" w:hAnsi="宋体" w:cs="宋体"/>
          <w:b w:val="0"/>
          <w:bCs w:val="0"/>
          <w:color w:val="auto"/>
          <w:szCs w:val="28"/>
          <w:highlight w:val="none"/>
        </w:rPr>
        <w:t>、项目人员保障方案</w:t>
      </w:r>
      <w:r>
        <w:rPr>
          <w:b w:val="0"/>
          <w:bCs w:val="0"/>
          <w:color w:val="auto"/>
        </w:rPr>
        <w:tab/>
      </w:r>
      <w:r>
        <w:rPr>
          <w:b w:val="0"/>
          <w:bCs w:val="0"/>
          <w:color w:val="auto"/>
        </w:rPr>
        <w:fldChar w:fldCharType="begin"/>
      </w:r>
      <w:r>
        <w:rPr>
          <w:b w:val="0"/>
          <w:bCs w:val="0"/>
          <w:color w:val="auto"/>
        </w:rPr>
        <w:instrText xml:space="preserve"> PAGEREF _Toc19354 \h </w:instrText>
      </w:r>
      <w:r>
        <w:rPr>
          <w:b w:val="0"/>
          <w:bCs w:val="0"/>
          <w:color w:val="auto"/>
        </w:rPr>
        <w:fldChar w:fldCharType="separate"/>
      </w:r>
      <w:r>
        <w:rPr>
          <w:b w:val="0"/>
          <w:bCs w:val="0"/>
          <w:color w:val="auto"/>
        </w:rPr>
        <w:t>98</w:t>
      </w:r>
      <w:r>
        <w:rPr>
          <w:b w:val="0"/>
          <w:bCs w:val="0"/>
          <w:color w:val="auto"/>
        </w:rPr>
        <w:fldChar w:fldCharType="end"/>
      </w:r>
      <w:r>
        <w:rPr>
          <w:rFonts w:hint="eastAsia" w:ascii="宋体" w:hAnsi="宋体" w:cs="宋体"/>
          <w:b w:val="0"/>
          <w:bCs w:val="0"/>
          <w:caps/>
          <w:color w:val="auto"/>
          <w:szCs w:val="32"/>
          <w:highlight w:val="none"/>
        </w:rPr>
        <w:fldChar w:fldCharType="end"/>
      </w:r>
    </w:p>
    <w:p w14:paraId="2AFB31D4">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_Toc30440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十</w:t>
      </w:r>
      <w:r>
        <w:rPr>
          <w:rFonts w:hint="eastAsia" w:ascii="宋体" w:hAnsi="宋体" w:cs="宋体"/>
          <w:b w:val="0"/>
          <w:bCs w:val="0"/>
          <w:color w:val="auto"/>
          <w:szCs w:val="28"/>
          <w:highlight w:val="none"/>
          <w:lang w:val="en-US" w:eastAsia="zh-CN"/>
        </w:rPr>
        <w:t>六</w:t>
      </w:r>
      <w:r>
        <w:rPr>
          <w:rFonts w:hint="eastAsia" w:ascii="宋体" w:hAnsi="宋体" w:cs="宋体"/>
          <w:b w:val="0"/>
          <w:bCs w:val="0"/>
          <w:color w:val="auto"/>
          <w:szCs w:val="28"/>
          <w:highlight w:val="none"/>
        </w:rPr>
        <w:t>、类似业绩</w:t>
      </w:r>
      <w:r>
        <w:rPr>
          <w:b w:val="0"/>
          <w:bCs w:val="0"/>
          <w:color w:val="auto"/>
        </w:rPr>
        <w:tab/>
      </w:r>
      <w:r>
        <w:rPr>
          <w:b w:val="0"/>
          <w:bCs w:val="0"/>
          <w:color w:val="auto"/>
        </w:rPr>
        <w:fldChar w:fldCharType="begin"/>
      </w:r>
      <w:r>
        <w:rPr>
          <w:b w:val="0"/>
          <w:bCs w:val="0"/>
          <w:color w:val="auto"/>
        </w:rPr>
        <w:instrText xml:space="preserve"> PAGEREF _Toc30440 \h </w:instrText>
      </w:r>
      <w:r>
        <w:rPr>
          <w:b w:val="0"/>
          <w:bCs w:val="0"/>
          <w:color w:val="auto"/>
        </w:rPr>
        <w:fldChar w:fldCharType="separate"/>
      </w:r>
      <w:r>
        <w:rPr>
          <w:b w:val="0"/>
          <w:bCs w:val="0"/>
          <w:color w:val="auto"/>
        </w:rPr>
        <w:t>99</w:t>
      </w:r>
      <w:r>
        <w:rPr>
          <w:b w:val="0"/>
          <w:bCs w:val="0"/>
          <w:color w:val="auto"/>
        </w:rPr>
        <w:fldChar w:fldCharType="end"/>
      </w:r>
      <w:r>
        <w:rPr>
          <w:rFonts w:hint="eastAsia" w:ascii="宋体" w:hAnsi="宋体" w:cs="宋体"/>
          <w:b w:val="0"/>
          <w:bCs w:val="0"/>
          <w:caps/>
          <w:color w:val="auto"/>
          <w:szCs w:val="32"/>
          <w:highlight w:val="none"/>
        </w:rPr>
        <w:fldChar w:fldCharType="end"/>
      </w:r>
    </w:p>
    <w:p w14:paraId="1143E342">
      <w:pPr>
        <w:pStyle w:val="15"/>
        <w:keepNext w:val="0"/>
        <w:keepLines w:val="0"/>
        <w:pageBreakBefore w:val="0"/>
        <w:widowControl/>
        <w:tabs>
          <w:tab w:val="right" w:leader="dot" w:pos="9410"/>
          <w:tab w:val="clear" w:pos="9400"/>
        </w:tabs>
        <w:kinsoku/>
        <w:wordWrap/>
        <w:overflowPunct/>
        <w:topLinePunct w:val="0"/>
        <w:autoSpaceDE/>
        <w:autoSpaceDN/>
        <w:bidi w:val="0"/>
        <w:adjustRightInd/>
        <w:snapToGrid/>
        <w:spacing w:line="440" w:lineRule="exact"/>
        <w:textAlignment w:val="auto"/>
        <w:rPr>
          <w:b w:val="0"/>
          <w:bCs w:val="0"/>
          <w:color w:val="auto"/>
        </w:rPr>
      </w:pPr>
      <w:r>
        <w:rPr>
          <w:rFonts w:hint="eastAsia" w:ascii="宋体" w:hAnsi="宋体" w:cs="宋体"/>
          <w:b w:val="0"/>
          <w:bCs w:val="0"/>
          <w:caps/>
          <w:color w:val="auto"/>
          <w:szCs w:val="32"/>
          <w:highlight w:val="none"/>
        </w:rPr>
        <w:fldChar w:fldCharType="begin"/>
      </w:r>
      <w:r>
        <w:rPr>
          <w:rFonts w:hint="eastAsia" w:ascii="宋体" w:hAnsi="宋体" w:cs="宋体"/>
          <w:b w:val="0"/>
          <w:bCs w:val="0"/>
          <w:caps/>
          <w:color w:val="auto"/>
          <w:szCs w:val="32"/>
          <w:highlight w:val="none"/>
        </w:rPr>
        <w:instrText xml:space="preserve"> HYPERLINK \l _Toc17962 </w:instrText>
      </w:r>
      <w:r>
        <w:rPr>
          <w:rFonts w:hint="eastAsia" w:ascii="宋体" w:hAnsi="宋体" w:cs="宋体"/>
          <w:b w:val="0"/>
          <w:bCs w:val="0"/>
          <w:caps/>
          <w:color w:val="auto"/>
          <w:szCs w:val="32"/>
          <w:highlight w:val="none"/>
        </w:rPr>
        <w:fldChar w:fldCharType="separate"/>
      </w:r>
      <w:r>
        <w:rPr>
          <w:rFonts w:hint="eastAsia" w:ascii="宋体" w:hAnsi="宋体" w:cs="宋体"/>
          <w:b w:val="0"/>
          <w:bCs w:val="0"/>
          <w:color w:val="auto"/>
          <w:szCs w:val="28"/>
          <w:highlight w:val="none"/>
        </w:rPr>
        <w:t>十</w:t>
      </w:r>
      <w:r>
        <w:rPr>
          <w:rFonts w:hint="eastAsia" w:ascii="宋体" w:hAnsi="宋体" w:cs="宋体"/>
          <w:b w:val="0"/>
          <w:bCs w:val="0"/>
          <w:color w:val="auto"/>
          <w:szCs w:val="28"/>
          <w:highlight w:val="none"/>
          <w:lang w:val="en-US" w:eastAsia="zh-CN"/>
        </w:rPr>
        <w:t>七</w:t>
      </w:r>
      <w:r>
        <w:rPr>
          <w:rFonts w:hint="eastAsia" w:ascii="宋体" w:hAnsi="宋体" w:cs="宋体"/>
          <w:b w:val="0"/>
          <w:bCs w:val="0"/>
          <w:color w:val="auto"/>
          <w:szCs w:val="28"/>
          <w:highlight w:val="none"/>
        </w:rPr>
        <w:t>、其他资料</w:t>
      </w:r>
      <w:r>
        <w:rPr>
          <w:b w:val="0"/>
          <w:bCs w:val="0"/>
          <w:color w:val="auto"/>
        </w:rPr>
        <w:tab/>
      </w:r>
      <w:r>
        <w:rPr>
          <w:b w:val="0"/>
          <w:bCs w:val="0"/>
          <w:color w:val="auto"/>
        </w:rPr>
        <w:fldChar w:fldCharType="begin"/>
      </w:r>
      <w:r>
        <w:rPr>
          <w:b w:val="0"/>
          <w:bCs w:val="0"/>
          <w:color w:val="auto"/>
        </w:rPr>
        <w:instrText xml:space="preserve"> PAGEREF _Toc17962 \h </w:instrText>
      </w:r>
      <w:r>
        <w:rPr>
          <w:b w:val="0"/>
          <w:bCs w:val="0"/>
          <w:color w:val="auto"/>
        </w:rPr>
        <w:fldChar w:fldCharType="separate"/>
      </w:r>
      <w:r>
        <w:rPr>
          <w:b w:val="0"/>
          <w:bCs w:val="0"/>
          <w:color w:val="auto"/>
        </w:rPr>
        <w:t>100</w:t>
      </w:r>
      <w:r>
        <w:rPr>
          <w:b w:val="0"/>
          <w:bCs w:val="0"/>
          <w:color w:val="auto"/>
        </w:rPr>
        <w:fldChar w:fldCharType="end"/>
      </w:r>
      <w:r>
        <w:rPr>
          <w:rFonts w:hint="eastAsia" w:ascii="宋体" w:hAnsi="宋体" w:cs="宋体"/>
          <w:b w:val="0"/>
          <w:bCs w:val="0"/>
          <w:caps/>
          <w:color w:val="auto"/>
          <w:szCs w:val="32"/>
          <w:highlight w:val="none"/>
        </w:rPr>
        <w:fldChar w:fldCharType="end"/>
      </w:r>
    </w:p>
    <w:p w14:paraId="7F6F56D5">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宋体" w:hAnsi="宋体" w:cs="宋体"/>
          <w:b w:val="0"/>
          <w:bCs w:val="0"/>
          <w:color w:val="auto"/>
          <w:sz w:val="28"/>
          <w:szCs w:val="28"/>
          <w:highlight w:val="none"/>
        </w:rPr>
        <w:sectPr>
          <w:footerReference r:id="rId9" w:type="default"/>
          <w:pgSz w:w="11905" w:h="16838"/>
          <w:pgMar w:top="1191" w:right="1191" w:bottom="1191" w:left="1304" w:header="567" w:footer="777" w:gutter="0"/>
          <w:pgNumType w:start="1"/>
          <w:cols w:space="0" w:num="1"/>
          <w:docGrid w:linePitch="317" w:charSpace="0"/>
        </w:sectPr>
      </w:pPr>
      <w:r>
        <w:rPr>
          <w:rFonts w:hint="eastAsia" w:ascii="宋体" w:hAnsi="宋体" w:cs="宋体"/>
          <w:b w:val="0"/>
          <w:bCs w:val="0"/>
          <w:caps/>
          <w:color w:val="auto"/>
          <w:szCs w:val="32"/>
          <w:highlight w:val="none"/>
        </w:rPr>
        <w:fldChar w:fldCharType="end"/>
      </w:r>
      <w:bookmarkStart w:id="1" w:name="_Toc12916"/>
      <w:bookmarkEnd w:id="1"/>
      <w:bookmarkStart w:id="2" w:name="_Toc3039"/>
      <w:bookmarkEnd w:id="2"/>
      <w:bookmarkStart w:id="3" w:name="_Toc24776"/>
      <w:bookmarkStart w:id="4" w:name="_Toc5556"/>
    </w:p>
    <w:p w14:paraId="6398F376">
      <w:pPr>
        <w:pStyle w:val="2"/>
        <w:spacing w:line="480" w:lineRule="exact"/>
        <w:jc w:val="center"/>
        <w:rPr>
          <w:rFonts w:hint="eastAsia" w:ascii="宋体" w:hAnsi="宋体" w:cs="宋体"/>
          <w:color w:val="auto"/>
          <w:highlight w:val="none"/>
        </w:rPr>
      </w:pPr>
      <w:bookmarkStart w:id="5" w:name="_Toc31015"/>
      <w:r>
        <w:rPr>
          <w:rFonts w:hint="eastAsia" w:ascii="宋体" w:hAnsi="宋体" w:cs="宋体"/>
          <w:color w:val="auto"/>
          <w:highlight w:val="none"/>
        </w:rPr>
        <w:t>第一章 招标公告</w:t>
      </w:r>
      <w:bookmarkEnd w:id="5"/>
    </w:p>
    <w:p w14:paraId="765D53FB">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cs="宋体"/>
          <w:b/>
          <w:color w:val="auto"/>
          <w:sz w:val="36"/>
          <w:szCs w:val="36"/>
          <w:highlight w:val="none"/>
          <w:lang w:eastAsia="zh-CN"/>
        </w:rPr>
      </w:pPr>
      <w:r>
        <w:rPr>
          <w:rFonts w:hint="eastAsia" w:ascii="宋体" w:hAnsi="宋体" w:cs="宋体"/>
          <w:b/>
          <w:color w:val="auto"/>
          <w:sz w:val="36"/>
          <w:szCs w:val="36"/>
          <w:highlight w:val="none"/>
          <w:lang w:eastAsia="zh-CN"/>
        </w:rPr>
        <w:t>怒江州中医医院2025-2028年耗材配送服务采购项目（标段1：普通耗材配送服务）三次</w:t>
      </w:r>
    </w:p>
    <w:p w14:paraId="487799C0">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cs="宋体"/>
          <w:color w:val="auto"/>
          <w:sz w:val="28"/>
          <w:szCs w:val="28"/>
          <w:highlight w:val="none"/>
        </w:rPr>
      </w:pPr>
      <w:r>
        <w:rPr>
          <w:rFonts w:hint="eastAsia" w:ascii="宋体" w:hAnsi="宋体" w:cs="宋体"/>
          <w:b/>
          <w:color w:val="auto"/>
          <w:sz w:val="36"/>
          <w:szCs w:val="36"/>
          <w:highlight w:val="none"/>
        </w:rPr>
        <w:t>招标公告</w:t>
      </w:r>
    </w:p>
    <w:bookmarkEnd w:id="3"/>
    <w:bookmarkEnd w:id="4"/>
    <w:p w14:paraId="23C40AE4">
      <w:pPr>
        <w:pStyle w:val="11"/>
        <w:rPr>
          <w:color w:val="auto"/>
          <w:highlight w:val="none"/>
        </w:rPr>
      </w:pPr>
    </w:p>
    <w:p w14:paraId="06C7CC74">
      <w:pPr>
        <w:widowControl w:val="0"/>
        <w:pBdr>
          <w:top w:val="single" w:color="auto" w:sz="4" w:space="1"/>
          <w:left w:val="single" w:color="auto" w:sz="4" w:space="4"/>
          <w:bottom w:val="single" w:color="auto" w:sz="4" w:space="1"/>
          <w:right w:val="single" w:color="auto" w:sz="4" w:space="4"/>
        </w:pBd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项目概况</w:t>
      </w:r>
    </w:p>
    <w:p w14:paraId="6949DDA8">
      <w:pPr>
        <w:widowControl w:val="0"/>
        <w:pBdr>
          <w:top w:val="single" w:color="auto" w:sz="4" w:space="1"/>
          <w:left w:val="single" w:color="auto" w:sz="4" w:space="4"/>
          <w:bottom w:val="single" w:color="auto" w:sz="4" w:space="1"/>
          <w:right w:val="single" w:color="auto" w:sz="4" w:space="4"/>
        </w:pBdr>
        <w:spacing w:line="360" w:lineRule="auto"/>
        <w:ind w:firstLine="480" w:firstLineChars="200"/>
        <w:jc w:val="both"/>
        <w:rPr>
          <w:rFonts w:hint="eastAsia" w:ascii="宋体" w:hAnsi="宋体" w:eastAsia="宋体" w:cs="宋体"/>
          <w:color w:val="auto"/>
          <w:kern w:val="2"/>
          <w:sz w:val="24"/>
          <w:szCs w:val="24"/>
          <w:highlight w:val="none"/>
          <w:lang w:bidi="ar"/>
        </w:rPr>
      </w:pPr>
      <w:r>
        <w:rPr>
          <w:rFonts w:hint="eastAsia" w:ascii="宋体" w:hAnsi="宋体" w:cs="宋体"/>
          <w:color w:val="auto"/>
          <w:kern w:val="2"/>
          <w:sz w:val="24"/>
          <w:szCs w:val="24"/>
          <w:highlight w:val="none"/>
          <w:u w:val="single"/>
          <w:lang w:eastAsia="zh-CN" w:bidi="ar"/>
        </w:rPr>
        <w:t>怒江州中医医院2025-2028年耗材配送服务采购项目（标段1：普通耗材配送服务）三次</w:t>
      </w:r>
      <w:r>
        <w:rPr>
          <w:rFonts w:hint="eastAsia" w:ascii="宋体" w:hAnsi="宋体" w:eastAsia="宋体" w:cs="宋体"/>
          <w:color w:val="auto"/>
          <w:kern w:val="2"/>
          <w:sz w:val="24"/>
          <w:szCs w:val="24"/>
          <w:highlight w:val="none"/>
          <w:lang w:bidi="ar"/>
        </w:rPr>
        <w:t>的潜在投标人应在</w:t>
      </w:r>
      <w:r>
        <w:rPr>
          <w:rFonts w:hint="eastAsia" w:ascii="宋体" w:hAnsi="宋体" w:eastAsia="宋体" w:cs="宋体"/>
          <w:color w:val="auto"/>
          <w:kern w:val="2"/>
          <w:sz w:val="24"/>
          <w:szCs w:val="24"/>
          <w:highlight w:val="none"/>
          <w:u w:val="single"/>
          <w:lang w:bidi="ar"/>
        </w:rPr>
        <w:t>政采云平台（</w:t>
      </w:r>
      <w:r>
        <w:rPr>
          <w:rFonts w:hint="eastAsia" w:ascii="宋体" w:hAnsi="宋体" w:eastAsia="宋体" w:cs="宋体"/>
          <w:color w:val="auto"/>
          <w:kern w:val="2"/>
          <w:sz w:val="24"/>
          <w:szCs w:val="24"/>
          <w:highlight w:val="none"/>
          <w:lang w:bidi="ar"/>
        </w:rPr>
        <w:fldChar w:fldCharType="begin"/>
      </w:r>
      <w:r>
        <w:rPr>
          <w:rFonts w:hint="eastAsia" w:ascii="宋体" w:hAnsi="宋体" w:eastAsia="宋体" w:cs="宋体"/>
          <w:color w:val="auto"/>
          <w:kern w:val="2"/>
          <w:sz w:val="24"/>
          <w:szCs w:val="24"/>
          <w:highlight w:val="none"/>
          <w:lang w:bidi="ar"/>
        </w:rPr>
        <w:instrText xml:space="preserve"> HYPERLINK "https://www.zcygov.cn/）获取（下载）获取招标文件，并于2025年4月" </w:instrText>
      </w:r>
      <w:r>
        <w:rPr>
          <w:rFonts w:hint="eastAsia" w:ascii="宋体" w:hAnsi="宋体" w:eastAsia="宋体" w:cs="宋体"/>
          <w:color w:val="auto"/>
          <w:kern w:val="2"/>
          <w:sz w:val="24"/>
          <w:szCs w:val="24"/>
          <w:highlight w:val="none"/>
          <w:lang w:bidi="ar"/>
        </w:rPr>
        <w:fldChar w:fldCharType="separate"/>
      </w:r>
      <w:r>
        <w:rPr>
          <w:rFonts w:hint="eastAsia" w:ascii="宋体" w:hAnsi="宋体" w:eastAsia="宋体" w:cs="宋体"/>
          <w:color w:val="auto"/>
          <w:kern w:val="2"/>
          <w:sz w:val="24"/>
          <w:szCs w:val="24"/>
          <w:highlight w:val="none"/>
          <w:u w:val="single"/>
          <w:lang w:bidi="ar"/>
        </w:rPr>
        <w:t>https://www.zcygov.cn/）</w:t>
      </w:r>
      <w:r>
        <w:rPr>
          <w:rFonts w:hint="eastAsia" w:ascii="宋体" w:hAnsi="宋体" w:eastAsia="宋体" w:cs="宋体"/>
          <w:color w:val="auto"/>
          <w:kern w:val="2"/>
          <w:sz w:val="24"/>
          <w:szCs w:val="24"/>
          <w:highlight w:val="none"/>
          <w:lang w:bidi="ar"/>
        </w:rPr>
        <w:t>获取（下载）获取招标文件，并于2025年</w:t>
      </w:r>
      <w:r>
        <w:rPr>
          <w:rFonts w:hint="eastAsia" w:ascii="宋体" w:hAnsi="宋体" w:cs="宋体"/>
          <w:color w:val="auto"/>
          <w:kern w:val="2"/>
          <w:sz w:val="24"/>
          <w:szCs w:val="24"/>
          <w:highlight w:val="none"/>
          <w:lang w:val="en-US" w:eastAsia="zh-CN" w:bidi="ar"/>
        </w:rPr>
        <w:t>8</w:t>
      </w:r>
      <w:r>
        <w:rPr>
          <w:rFonts w:hint="eastAsia" w:ascii="宋体" w:hAnsi="宋体" w:eastAsia="宋体" w:cs="宋体"/>
          <w:color w:val="auto"/>
          <w:kern w:val="2"/>
          <w:sz w:val="24"/>
          <w:szCs w:val="24"/>
          <w:highlight w:val="none"/>
          <w:lang w:bidi="ar"/>
        </w:rPr>
        <w:t>月</w:t>
      </w:r>
      <w:r>
        <w:rPr>
          <w:rFonts w:hint="eastAsia" w:ascii="宋体" w:hAnsi="宋体" w:eastAsia="宋体" w:cs="宋体"/>
          <w:color w:val="auto"/>
          <w:kern w:val="2"/>
          <w:sz w:val="24"/>
          <w:szCs w:val="24"/>
          <w:highlight w:val="none"/>
          <w:lang w:bidi="ar"/>
        </w:rPr>
        <w:fldChar w:fldCharType="end"/>
      </w:r>
      <w:r>
        <w:rPr>
          <w:rFonts w:hint="eastAsia" w:ascii="宋体" w:hAnsi="宋体" w:cs="宋体"/>
          <w:color w:val="auto"/>
          <w:kern w:val="2"/>
          <w:sz w:val="24"/>
          <w:szCs w:val="24"/>
          <w:highlight w:val="none"/>
          <w:lang w:val="en-US" w:eastAsia="zh-CN" w:bidi="ar"/>
        </w:rPr>
        <w:t>20</w:t>
      </w:r>
      <w:r>
        <w:rPr>
          <w:rFonts w:hint="eastAsia" w:ascii="宋体" w:hAnsi="宋体" w:eastAsia="宋体" w:cs="宋体"/>
          <w:color w:val="auto"/>
          <w:kern w:val="2"/>
          <w:sz w:val="24"/>
          <w:szCs w:val="24"/>
          <w:highlight w:val="none"/>
          <w:lang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bidi="ar"/>
        </w:rPr>
        <w:t>点</w:t>
      </w:r>
      <w:r>
        <w:rPr>
          <w:rFonts w:hint="eastAsia" w:ascii="宋体" w:hAnsi="宋体" w:cs="宋体"/>
          <w:color w:val="auto"/>
          <w:kern w:val="2"/>
          <w:sz w:val="24"/>
          <w:szCs w:val="24"/>
          <w:highlight w:val="none"/>
          <w:lang w:val="en-US" w:eastAsia="zh-CN" w:bidi="ar"/>
        </w:rPr>
        <w:t>3</w:t>
      </w:r>
      <w:r>
        <w:rPr>
          <w:rFonts w:hint="eastAsia" w:ascii="宋体" w:hAnsi="宋体" w:eastAsia="宋体" w:cs="宋体"/>
          <w:color w:val="auto"/>
          <w:kern w:val="2"/>
          <w:sz w:val="24"/>
          <w:szCs w:val="24"/>
          <w:highlight w:val="none"/>
          <w:lang w:val="en-US" w:eastAsia="zh-CN" w:bidi="ar"/>
        </w:rPr>
        <w:t>0</w:t>
      </w:r>
      <w:r>
        <w:rPr>
          <w:rFonts w:hint="eastAsia" w:ascii="宋体" w:hAnsi="宋体" w:eastAsia="宋体" w:cs="宋体"/>
          <w:color w:val="auto"/>
          <w:kern w:val="2"/>
          <w:sz w:val="24"/>
          <w:szCs w:val="24"/>
          <w:highlight w:val="none"/>
          <w:lang w:bidi="ar"/>
        </w:rPr>
        <w:t>分（北京时间）前递交投标文件。</w:t>
      </w:r>
    </w:p>
    <w:p w14:paraId="3048103A">
      <w:pPr>
        <w:pStyle w:val="11"/>
        <w:rPr>
          <w:color w:val="auto"/>
          <w:highlight w:val="none"/>
        </w:rPr>
      </w:pPr>
    </w:p>
    <w:p w14:paraId="61E6759F">
      <w:pPr>
        <w:pStyle w:val="3"/>
        <w:widowControl/>
        <w:spacing w:before="0" w:after="0" w:line="360" w:lineRule="auto"/>
        <w:rPr>
          <w:rFonts w:hint="eastAsia" w:ascii="宋体" w:hAnsi="宋体" w:eastAsia="宋体" w:cs="宋体"/>
          <w:bCs w:val="0"/>
          <w:color w:val="auto"/>
          <w:sz w:val="24"/>
          <w:szCs w:val="24"/>
          <w:highlight w:val="none"/>
        </w:rPr>
      </w:pPr>
      <w:bookmarkStart w:id="6" w:name="_Toc32031"/>
      <w:bookmarkEnd w:id="6"/>
      <w:bookmarkStart w:id="7" w:name="_Toc29108"/>
      <w:bookmarkEnd w:id="7"/>
      <w:bookmarkStart w:id="8" w:name="_Toc35393621"/>
      <w:bookmarkStart w:id="9" w:name="_Toc23839"/>
      <w:bookmarkStart w:id="10" w:name="_Toc28359002"/>
      <w:bookmarkStart w:id="11" w:name="_Toc18589"/>
      <w:bookmarkStart w:id="12" w:name="_Toc28359079"/>
      <w:bookmarkStart w:id="13" w:name="_Toc35393790"/>
      <w:bookmarkStart w:id="14" w:name="_Hlk24379207"/>
      <w:r>
        <w:rPr>
          <w:rFonts w:hint="eastAsia" w:ascii="宋体" w:hAnsi="宋体" w:eastAsia="宋体" w:cs="宋体"/>
          <w:bCs w:val="0"/>
          <w:color w:val="auto"/>
          <w:sz w:val="24"/>
          <w:szCs w:val="24"/>
          <w:highlight w:val="none"/>
        </w:rPr>
        <w:t>一、项目基本情况</w:t>
      </w:r>
      <w:bookmarkEnd w:id="8"/>
      <w:bookmarkEnd w:id="9"/>
      <w:bookmarkEnd w:id="10"/>
      <w:bookmarkEnd w:id="11"/>
      <w:bookmarkEnd w:id="12"/>
      <w:bookmarkEnd w:id="13"/>
    </w:p>
    <w:p w14:paraId="3AC6504D">
      <w:pPr>
        <w:widowControl w:val="0"/>
        <w:spacing w:line="360" w:lineRule="auto"/>
        <w:ind w:firstLine="480" w:firstLineChars="200"/>
        <w:jc w:val="both"/>
        <w:rPr>
          <w:rFonts w:hint="eastAsia" w:ascii="宋体" w:hAnsi="宋体" w:eastAsia="宋体" w:cs="宋体"/>
          <w:color w:val="auto"/>
          <w:kern w:val="2"/>
          <w:sz w:val="24"/>
          <w:szCs w:val="24"/>
          <w:highlight w:val="none"/>
          <w:lang w:eastAsia="zh-CN" w:bidi="ar"/>
        </w:rPr>
      </w:pPr>
      <w:r>
        <w:rPr>
          <w:rFonts w:hint="eastAsia" w:ascii="宋体" w:hAnsi="宋体" w:cs="宋体"/>
          <w:color w:val="auto"/>
          <w:kern w:val="2"/>
          <w:sz w:val="24"/>
          <w:szCs w:val="24"/>
          <w:highlight w:val="none"/>
          <w:lang w:bidi="ar"/>
        </w:rPr>
        <w:t>项目编号：YDCTF</w:t>
      </w:r>
      <w:r>
        <w:rPr>
          <w:rFonts w:hint="eastAsia" w:ascii="宋体" w:hAnsi="宋体" w:cs="宋体"/>
          <w:color w:val="auto"/>
          <w:kern w:val="2"/>
          <w:sz w:val="24"/>
          <w:szCs w:val="24"/>
          <w:highlight w:val="none"/>
          <w:lang w:eastAsia="zh-CN" w:bidi="ar"/>
        </w:rPr>
        <w:t>20250912</w:t>
      </w:r>
    </w:p>
    <w:p w14:paraId="141BA9E3">
      <w:pPr>
        <w:widowControl w:val="0"/>
        <w:spacing w:line="360" w:lineRule="auto"/>
        <w:ind w:firstLine="480" w:firstLineChars="200"/>
        <w:jc w:val="both"/>
        <w:rPr>
          <w:rFonts w:hint="eastAsia" w:ascii="宋体" w:hAnsi="宋体" w:cs="宋体"/>
          <w:color w:val="auto"/>
          <w:kern w:val="2"/>
          <w:sz w:val="24"/>
          <w:szCs w:val="24"/>
          <w:highlight w:val="none"/>
          <w:lang w:eastAsia="zh-CN" w:bidi="ar"/>
        </w:rPr>
      </w:pPr>
      <w:r>
        <w:rPr>
          <w:rFonts w:hint="eastAsia" w:ascii="宋体" w:hAnsi="宋体" w:cs="宋体"/>
          <w:color w:val="auto"/>
          <w:kern w:val="2"/>
          <w:sz w:val="24"/>
          <w:szCs w:val="24"/>
          <w:highlight w:val="none"/>
          <w:lang w:bidi="ar"/>
        </w:rPr>
        <w:t>项目名称：</w:t>
      </w:r>
      <w:r>
        <w:rPr>
          <w:rFonts w:hint="eastAsia" w:ascii="宋体" w:hAnsi="宋体" w:cs="宋体"/>
          <w:color w:val="auto"/>
          <w:kern w:val="2"/>
          <w:sz w:val="24"/>
          <w:szCs w:val="24"/>
          <w:highlight w:val="none"/>
          <w:lang w:eastAsia="zh-CN" w:bidi="ar"/>
        </w:rPr>
        <w:t>怒江州中医医院2025-2028年耗材配送服务采购项目（标段1：普通耗材配送服务）三次</w:t>
      </w:r>
    </w:p>
    <w:bookmarkEnd w:id="14"/>
    <w:p w14:paraId="04A1D294">
      <w:pPr>
        <w:widowControl w:val="0"/>
        <w:spacing w:line="360" w:lineRule="auto"/>
        <w:ind w:firstLine="480" w:firstLineChars="200"/>
        <w:jc w:val="both"/>
        <w:rPr>
          <w:rFonts w:hint="default"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bidi="ar"/>
        </w:rPr>
        <w:t>预算金额：1638935.98元/年（第一年）</w:t>
      </w:r>
      <w:r>
        <w:rPr>
          <w:rFonts w:hint="eastAsia" w:ascii="宋体" w:hAnsi="宋体" w:cs="宋体"/>
          <w:color w:val="auto"/>
          <w:kern w:val="2"/>
          <w:sz w:val="24"/>
          <w:szCs w:val="24"/>
          <w:highlight w:val="none"/>
          <w:lang w:val="en-US" w:eastAsia="zh-CN" w:bidi="ar"/>
        </w:rPr>
        <w:t>。</w:t>
      </w:r>
    </w:p>
    <w:p w14:paraId="7C9B016E">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最高限价：在医院采购预算单价的基础上统一下浮</w:t>
      </w:r>
      <w:r>
        <w:rPr>
          <w:rFonts w:hint="eastAsia" w:ascii="宋体" w:hAnsi="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bidi="ar"/>
        </w:rPr>
        <w:t>下浮幅度必须大于或等于0%</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val="en-US" w:eastAsia="zh-CN" w:bidi="ar"/>
        </w:rPr>
        <w:t>按医院实际使用量结算)。</w:t>
      </w:r>
    </w:p>
    <w:p w14:paraId="5CDB70A2">
      <w:pPr>
        <w:widowControl w:val="0"/>
        <w:spacing w:line="360" w:lineRule="auto"/>
        <w:ind w:firstLine="480" w:firstLineChars="200"/>
        <w:jc w:val="both"/>
        <w:rPr>
          <w:rFonts w:hint="eastAsia"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bidi="ar"/>
        </w:rPr>
        <w:t>采购需求：</w:t>
      </w:r>
      <w:r>
        <w:rPr>
          <w:rFonts w:hint="eastAsia" w:ascii="宋体" w:hAnsi="宋体" w:cs="宋体"/>
          <w:color w:val="auto"/>
          <w:kern w:val="2"/>
          <w:sz w:val="24"/>
          <w:szCs w:val="24"/>
          <w:highlight w:val="none"/>
          <w:lang w:val="en-US" w:eastAsia="zh-CN" w:bidi="ar"/>
        </w:rPr>
        <w:t>采购一批普通</w:t>
      </w:r>
      <w:bookmarkStart w:id="283" w:name="_GoBack"/>
      <w:bookmarkEnd w:id="283"/>
      <w:r>
        <w:rPr>
          <w:rFonts w:hint="eastAsia" w:ascii="宋体" w:hAnsi="宋体" w:cs="宋体"/>
          <w:color w:val="auto"/>
          <w:kern w:val="2"/>
          <w:sz w:val="24"/>
          <w:szCs w:val="24"/>
          <w:highlight w:val="none"/>
          <w:lang w:val="en-US" w:eastAsia="zh-CN" w:bidi="ar"/>
        </w:rPr>
        <w:t>耗材。</w:t>
      </w:r>
    </w:p>
    <w:p w14:paraId="5550A81D">
      <w:pPr>
        <w:widowControl w:val="0"/>
        <w:spacing w:line="360" w:lineRule="auto"/>
        <w:ind w:firstLine="480" w:firstLineChars="200"/>
        <w:jc w:val="both"/>
        <w:rPr>
          <w:rFonts w:hint="eastAsia" w:ascii="宋体" w:hAnsi="宋体" w:cs="宋体"/>
          <w:color w:val="auto"/>
          <w:kern w:val="2"/>
          <w:sz w:val="24"/>
          <w:szCs w:val="24"/>
          <w:highlight w:val="none"/>
          <w:lang w:eastAsia="zh-CN" w:bidi="ar"/>
        </w:rPr>
      </w:pPr>
      <w:r>
        <w:rPr>
          <w:rFonts w:hint="eastAsia" w:ascii="宋体" w:hAnsi="宋体" w:cs="宋体"/>
          <w:color w:val="auto"/>
          <w:kern w:val="2"/>
          <w:sz w:val="24"/>
          <w:szCs w:val="24"/>
          <w:highlight w:val="none"/>
          <w:lang w:bidi="ar"/>
        </w:rPr>
        <w:t>合同履行期限：三年，合同一年一签，</w:t>
      </w:r>
      <w:r>
        <w:rPr>
          <w:rFonts w:hint="eastAsia" w:ascii="宋体" w:hAnsi="宋体" w:cs="宋体"/>
          <w:color w:val="auto"/>
          <w:kern w:val="2"/>
          <w:sz w:val="24"/>
          <w:szCs w:val="24"/>
          <w:highlight w:val="none"/>
          <w:lang w:val="en-US" w:eastAsia="zh-CN" w:bidi="ar"/>
        </w:rPr>
        <w:t>采购人</w:t>
      </w:r>
      <w:r>
        <w:rPr>
          <w:rFonts w:hint="eastAsia" w:ascii="宋体" w:hAnsi="宋体" w:cs="宋体"/>
          <w:color w:val="auto"/>
          <w:kern w:val="2"/>
          <w:sz w:val="24"/>
          <w:szCs w:val="24"/>
          <w:highlight w:val="none"/>
          <w:lang w:bidi="ar"/>
        </w:rPr>
        <w:t>按照医院内部评价机制，评价合格即可签订下一年度合同。评价不合格</w:t>
      </w:r>
      <w:r>
        <w:rPr>
          <w:rFonts w:hint="eastAsia" w:ascii="宋体" w:hAnsi="宋体" w:cs="宋体"/>
          <w:color w:val="auto"/>
          <w:kern w:val="2"/>
          <w:sz w:val="24"/>
          <w:szCs w:val="24"/>
          <w:highlight w:val="none"/>
          <w:lang w:val="en-US" w:eastAsia="zh-CN" w:bidi="ar"/>
        </w:rPr>
        <w:t>采购人</w:t>
      </w:r>
      <w:r>
        <w:rPr>
          <w:rFonts w:hint="eastAsia" w:ascii="宋体" w:hAnsi="宋体" w:cs="宋体"/>
          <w:color w:val="auto"/>
          <w:kern w:val="2"/>
          <w:sz w:val="24"/>
          <w:szCs w:val="24"/>
          <w:highlight w:val="none"/>
          <w:lang w:bidi="ar"/>
        </w:rPr>
        <w:t>有权不签订下一年度合同，重新招标</w:t>
      </w:r>
      <w:r>
        <w:rPr>
          <w:rFonts w:hint="eastAsia" w:ascii="宋体" w:hAnsi="宋体" w:cs="宋体"/>
          <w:color w:val="auto"/>
          <w:kern w:val="2"/>
          <w:sz w:val="24"/>
          <w:szCs w:val="24"/>
          <w:highlight w:val="none"/>
          <w:lang w:eastAsia="zh-CN" w:bidi="ar"/>
        </w:rPr>
        <w:t>。</w:t>
      </w:r>
    </w:p>
    <w:p w14:paraId="693B94B5">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本项目不接受联合体投标。</w:t>
      </w:r>
    </w:p>
    <w:p w14:paraId="0BA8B368">
      <w:pPr>
        <w:pStyle w:val="3"/>
        <w:widowControl/>
        <w:spacing w:before="0" w:after="0" w:line="360" w:lineRule="auto"/>
        <w:rPr>
          <w:rFonts w:hint="eastAsia" w:ascii="宋体" w:hAnsi="宋体" w:eastAsia="宋体" w:cs="宋体"/>
          <w:bCs w:val="0"/>
          <w:color w:val="auto"/>
          <w:sz w:val="24"/>
          <w:szCs w:val="24"/>
          <w:highlight w:val="none"/>
        </w:rPr>
      </w:pPr>
      <w:bookmarkStart w:id="15" w:name="_Toc28359003"/>
      <w:bookmarkStart w:id="16" w:name="_Toc28359080"/>
      <w:bookmarkStart w:id="17" w:name="_Toc2051"/>
      <w:bookmarkStart w:id="18" w:name="_Toc35393791"/>
      <w:bookmarkStart w:id="19" w:name="_Toc86"/>
      <w:bookmarkStart w:id="20" w:name="_Toc35393622"/>
      <w:r>
        <w:rPr>
          <w:rFonts w:hint="eastAsia" w:ascii="宋体" w:hAnsi="宋体" w:eastAsia="宋体" w:cs="宋体"/>
          <w:bCs w:val="0"/>
          <w:color w:val="auto"/>
          <w:sz w:val="24"/>
          <w:szCs w:val="24"/>
          <w:highlight w:val="none"/>
        </w:rPr>
        <w:t>二、</w:t>
      </w:r>
      <w:r>
        <w:rPr>
          <w:rFonts w:hint="eastAsia" w:ascii="宋体" w:hAnsi="宋体" w:eastAsia="宋体" w:cs="宋体"/>
          <w:bCs w:val="0"/>
          <w:color w:val="auto"/>
          <w:sz w:val="24"/>
          <w:szCs w:val="24"/>
          <w:highlight w:val="none"/>
          <w:lang w:val="en-US" w:eastAsia="zh-CN"/>
        </w:rPr>
        <w:t>申请</w:t>
      </w:r>
      <w:r>
        <w:rPr>
          <w:rFonts w:hint="eastAsia" w:ascii="宋体" w:hAnsi="宋体" w:eastAsia="宋体" w:cs="宋体"/>
          <w:bCs w:val="0"/>
          <w:color w:val="auto"/>
          <w:sz w:val="24"/>
          <w:szCs w:val="24"/>
          <w:highlight w:val="none"/>
        </w:rPr>
        <w:t>人的资格要求</w:t>
      </w:r>
      <w:bookmarkEnd w:id="15"/>
      <w:bookmarkEnd w:id="16"/>
      <w:bookmarkEnd w:id="17"/>
      <w:bookmarkEnd w:id="18"/>
      <w:bookmarkEnd w:id="19"/>
      <w:bookmarkEnd w:id="20"/>
    </w:p>
    <w:p w14:paraId="04979A76">
      <w:pPr>
        <w:widowControl w:val="0"/>
        <w:spacing w:line="360" w:lineRule="auto"/>
        <w:ind w:firstLine="480" w:firstLineChars="200"/>
        <w:jc w:val="both"/>
        <w:rPr>
          <w:rFonts w:hint="eastAsia" w:ascii="宋体" w:hAnsi="宋体" w:cs="宋体"/>
          <w:color w:val="auto"/>
          <w:kern w:val="2"/>
          <w:sz w:val="24"/>
          <w:szCs w:val="24"/>
          <w:highlight w:val="none"/>
          <w:lang w:bidi="ar"/>
        </w:rPr>
      </w:pPr>
      <w:bookmarkStart w:id="21" w:name="_Toc28359081"/>
      <w:bookmarkStart w:id="22" w:name="_Toc28359004"/>
      <w:r>
        <w:rPr>
          <w:rFonts w:hint="eastAsia" w:ascii="宋体" w:hAnsi="宋体" w:cs="宋体"/>
          <w:color w:val="auto"/>
          <w:kern w:val="2"/>
          <w:sz w:val="24"/>
          <w:szCs w:val="24"/>
          <w:highlight w:val="none"/>
          <w:lang w:bidi="ar"/>
        </w:rPr>
        <w:t>1.满足《中华人民共和国政府采购法》第二十二条规定；</w:t>
      </w:r>
    </w:p>
    <w:p w14:paraId="5674AEBB">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1.1具有独立承担民事责任的能力。提供法人或者其他组织的营业执照等证明文件。</w:t>
      </w:r>
    </w:p>
    <w:p w14:paraId="0C6924C7">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1.2具有良好的商业信誉和健全的财务会计制度。投标人须提供财务状况报告，内容可为以下两者之一：</w:t>
      </w:r>
    </w:p>
    <w:p w14:paraId="5DBCC3FB">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①提供2023年或2024年经审计的财务报告（包括资产负债表、利润表、现金流量表、所有者权益变动表及其附注），新成立不满</w:t>
      </w:r>
      <w:r>
        <w:rPr>
          <w:rFonts w:hint="eastAsia" w:ascii="宋体" w:hAnsi="宋体" w:cs="宋体"/>
          <w:color w:val="auto"/>
          <w:kern w:val="2"/>
          <w:sz w:val="24"/>
          <w:szCs w:val="24"/>
          <w:highlight w:val="none"/>
          <w:u w:val="single"/>
          <w:lang w:bidi="ar"/>
        </w:rPr>
        <w:t>1</w:t>
      </w:r>
      <w:r>
        <w:rPr>
          <w:rFonts w:hint="eastAsia" w:ascii="宋体" w:hAnsi="宋体" w:cs="宋体"/>
          <w:color w:val="auto"/>
          <w:kern w:val="2"/>
          <w:sz w:val="24"/>
          <w:szCs w:val="24"/>
          <w:highlight w:val="none"/>
          <w:lang w:bidi="ar"/>
        </w:rPr>
        <w:t>年的投标人提供自成立至今的财务报表；</w:t>
      </w:r>
    </w:p>
    <w:p w14:paraId="5F11BD3B">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②提供自投标文件提交截止时间前三个月内基本开户银行出具的资信证明。</w:t>
      </w:r>
    </w:p>
    <w:p w14:paraId="41E94CF1">
      <w:pPr>
        <w:widowControl w:val="0"/>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1.3具有履行合同所必需的设备和专业技术能力。提供具备履行合同所必需的设备和专业技术能力的证明材料。</w:t>
      </w:r>
    </w:p>
    <w:p w14:paraId="22FE6C9D">
      <w:pPr>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1.4有依法缴纳税收和社会保障资金的良好记录。</w:t>
      </w:r>
      <w:r>
        <w:rPr>
          <w:rFonts w:hint="eastAsia" w:ascii="宋体" w:hAnsi="宋体" w:cs="宋体"/>
          <w:color w:val="auto"/>
          <w:sz w:val="24"/>
          <w:szCs w:val="24"/>
          <w:highlight w:val="none"/>
        </w:rPr>
        <w:t>提供2024年7月至今任意2个月依法缴纳税收和缴纳社会保障资金的证明（成立未满2个月的提供成立以来的税收和社会保障资金缴纳凭据；依法免税或不需要缴纳社会保障资金的投标人，应提供相应文件证明其依法免税或不需要缴纳社会保障资金）。</w:t>
      </w:r>
    </w:p>
    <w:p w14:paraId="5C486885">
      <w:pP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1.5参加政府采购活动前三年内，在经营活动中没有重大违法记录。提供参加政府采购活动前三年内在经营活动中没有重大违法记录的书面声明。</w:t>
      </w:r>
    </w:p>
    <w:p w14:paraId="219FC482">
      <w:pPr>
        <w:spacing w:line="360" w:lineRule="auto"/>
        <w:ind w:firstLine="465"/>
        <w:rPr>
          <w:rFonts w:hint="eastAsia" w:ascii="宋体" w:hAnsi="宋体" w:cs="宋体"/>
          <w:color w:val="auto"/>
          <w:sz w:val="24"/>
          <w:szCs w:val="24"/>
          <w:highlight w:val="none"/>
        </w:rPr>
      </w:pPr>
      <w:r>
        <w:rPr>
          <w:rFonts w:hint="eastAsia" w:ascii="宋体" w:hAnsi="宋体" w:cs="宋体"/>
          <w:color w:val="auto"/>
          <w:sz w:val="24"/>
          <w:szCs w:val="24"/>
          <w:highlight w:val="none"/>
        </w:rPr>
        <w:t>1.6法律、行政法规规定的其他条件。</w:t>
      </w:r>
    </w:p>
    <w:p w14:paraId="584A8C59">
      <w:pP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1.6.1单位负责人为同一人或者存在直接控股、管理关系的不同投标人，不得参加同一合同项下的政府采购活动。</w:t>
      </w:r>
    </w:p>
    <w:p w14:paraId="511274D4">
      <w:pP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1.6.2投标人应在“信用中国”网站(www.creditchina.gov.cn)未被列入失信被执行人记录(按网站要求链接到中国执行信息网(http：//zxgk.court.gov.cn/shixin/)查询)、重大税收违法失信主体且在中国政府采购网(www.ccgp.gov.cn)没有政府采购严重违法失信行为记录(被禁止在一定期限内参加政府采购活动但期限届满的除外)。(采购人、采购代理机构通过“信用中国网”、“中国执行信息网”、“中国政府采购网”等渠道查询相关主体信用记录)。</w:t>
      </w:r>
    </w:p>
    <w:p w14:paraId="49A2D4E4">
      <w:pPr>
        <w:widowControl w:val="0"/>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highlight w:val="none"/>
          <w:lang w:bidi="ar"/>
        </w:rPr>
        <w:t>2.落实政府采购政策需满足的资格要求</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无</w:t>
      </w:r>
      <w:r>
        <w:rPr>
          <w:rFonts w:hint="eastAsia" w:ascii="宋体" w:hAnsi="宋体" w:cs="宋体"/>
          <w:color w:val="auto"/>
          <w:sz w:val="24"/>
          <w:szCs w:val="24"/>
          <w:highlight w:val="none"/>
        </w:rPr>
        <w:t>。</w:t>
      </w:r>
    </w:p>
    <w:p w14:paraId="3A38B955">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3.本项目的特定资格要求：</w:t>
      </w:r>
    </w:p>
    <w:p w14:paraId="5B54EDD5">
      <w:pPr>
        <w:widowControl w:val="0"/>
        <w:spacing w:line="360" w:lineRule="auto"/>
        <w:ind w:firstLine="480" w:firstLineChars="200"/>
        <w:jc w:val="both"/>
        <w:rPr>
          <w:rFonts w:hint="default" w:ascii="宋体" w:hAnsi="宋体" w:cs="宋体"/>
          <w:b/>
          <w:bCs/>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3.1投标人如果是代理商或经销商须提供：①医疗器械经营许可证/备案；②所投产品制造商医疗器械生产许可证(制造商工商注册地在中华人民共和国境外的，不做此要求)；③所投产品的医疗器械注册证及附件。</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7671FC37">
      <w:pPr>
        <w:widowControl w:val="0"/>
        <w:spacing w:line="360" w:lineRule="auto"/>
        <w:ind w:firstLine="480" w:firstLineChars="200"/>
        <w:jc w:val="both"/>
        <w:rPr>
          <w:rFonts w:hint="eastAsia"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3.2投标人如果是制造商须提供：①医疗器械生产许可证(制造商工商注册地在中华人民共和国境外的，不做此要求)；②所投产品的医疗器械注册证及附件。</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68A07D1D">
      <w:pPr>
        <w:widowControl w:val="0"/>
        <w:spacing w:line="360" w:lineRule="auto"/>
        <w:ind w:firstLine="480" w:firstLineChars="200"/>
        <w:jc w:val="both"/>
        <w:rPr>
          <w:rFonts w:hint="eastAsia"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3.3医疗器械生产或医疗器械经营许可证范围须覆盖所投第二、三类医疗器械(根据中华人民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4231EDED">
      <w:pPr>
        <w:widowControl w:val="0"/>
        <w:spacing w:line="360" w:lineRule="auto"/>
        <w:ind w:firstLine="480" w:firstLineChars="200"/>
        <w:jc w:val="both"/>
        <w:rPr>
          <w:rFonts w:hint="default" w:ascii="宋体" w:hAnsi="宋体" w:eastAsia="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3.4</w:t>
      </w:r>
      <w:r>
        <w:rPr>
          <w:rFonts w:hint="eastAsia" w:ascii="宋体" w:hAnsi="宋体" w:cs="宋体"/>
          <w:color w:val="auto"/>
          <w:kern w:val="2"/>
          <w:sz w:val="24"/>
          <w:szCs w:val="24"/>
          <w:highlight w:val="none"/>
          <w:lang w:bidi="ar"/>
        </w:rPr>
        <w:t>本项目不接受联合体投标</w:t>
      </w:r>
      <w:r>
        <w:rPr>
          <w:rFonts w:hint="eastAsia" w:ascii="宋体" w:hAnsi="宋体" w:cs="宋体"/>
          <w:color w:val="auto"/>
          <w:kern w:val="2"/>
          <w:sz w:val="24"/>
          <w:szCs w:val="24"/>
          <w:highlight w:val="none"/>
          <w:lang w:val="en-US" w:eastAsia="zh-CN" w:bidi="ar"/>
        </w:rPr>
        <w:t>。</w:t>
      </w:r>
    </w:p>
    <w:p w14:paraId="29B98766">
      <w:pPr>
        <w:pStyle w:val="3"/>
        <w:widowControl/>
        <w:spacing w:before="0" w:after="0" w:line="360" w:lineRule="auto"/>
        <w:rPr>
          <w:rFonts w:hint="eastAsia" w:ascii="宋体" w:hAnsi="宋体" w:eastAsia="宋体" w:cs="宋体"/>
          <w:bCs w:val="0"/>
          <w:color w:val="auto"/>
          <w:sz w:val="24"/>
          <w:szCs w:val="24"/>
          <w:highlight w:val="none"/>
        </w:rPr>
      </w:pPr>
      <w:bookmarkStart w:id="23" w:name="_Toc35393792"/>
      <w:bookmarkStart w:id="24" w:name="_Toc35393623"/>
      <w:bookmarkStart w:id="25" w:name="_Toc29745"/>
      <w:bookmarkStart w:id="26" w:name="_Toc29577"/>
      <w:r>
        <w:rPr>
          <w:rFonts w:hint="eastAsia" w:ascii="宋体" w:hAnsi="宋体" w:eastAsia="宋体" w:cs="宋体"/>
          <w:bCs w:val="0"/>
          <w:color w:val="auto"/>
          <w:sz w:val="24"/>
          <w:szCs w:val="24"/>
          <w:highlight w:val="none"/>
        </w:rPr>
        <w:t>三、获取招标文件</w:t>
      </w:r>
      <w:bookmarkEnd w:id="21"/>
      <w:bookmarkEnd w:id="22"/>
      <w:bookmarkEnd w:id="23"/>
      <w:bookmarkEnd w:id="24"/>
      <w:bookmarkEnd w:id="25"/>
      <w:bookmarkEnd w:id="26"/>
    </w:p>
    <w:p w14:paraId="205DD510">
      <w:pPr>
        <w:widowControl w:val="0"/>
        <w:spacing w:line="360" w:lineRule="auto"/>
        <w:ind w:firstLine="540"/>
        <w:jc w:val="both"/>
        <w:rPr>
          <w:rFonts w:hint="eastAsia" w:ascii="宋体" w:hAnsi="宋体" w:cs="宋体"/>
          <w:color w:val="auto"/>
          <w:kern w:val="2"/>
          <w:sz w:val="24"/>
          <w:szCs w:val="24"/>
          <w:highlight w:val="none"/>
          <w:lang w:bidi="ar"/>
        </w:rPr>
      </w:pPr>
      <w:bookmarkStart w:id="27" w:name="_Toc28359005"/>
      <w:bookmarkStart w:id="28" w:name="_Toc28359082"/>
      <w:bookmarkStart w:id="29" w:name="_Toc35393624"/>
      <w:bookmarkStart w:id="30" w:name="_Toc35393793"/>
      <w:bookmarkStart w:id="31" w:name="_Toc26119"/>
      <w:r>
        <w:rPr>
          <w:rFonts w:hint="eastAsia" w:ascii="宋体" w:hAnsi="宋体" w:cs="宋体"/>
          <w:color w:val="auto"/>
          <w:kern w:val="2"/>
          <w:sz w:val="24"/>
          <w:szCs w:val="24"/>
          <w:highlight w:val="none"/>
          <w:lang w:bidi="ar"/>
        </w:rPr>
        <w:t>时间：</w:t>
      </w:r>
      <w:r>
        <w:rPr>
          <w:rFonts w:hint="eastAsia" w:ascii="宋体" w:hAnsi="宋体" w:cs="宋体"/>
          <w:color w:val="auto"/>
          <w:kern w:val="2"/>
          <w:sz w:val="24"/>
          <w:szCs w:val="24"/>
          <w:highlight w:val="none"/>
          <w:u w:val="none"/>
          <w:lang w:bidi="ar"/>
        </w:rPr>
        <w:t>2025年</w:t>
      </w:r>
      <w:r>
        <w:rPr>
          <w:rFonts w:hint="eastAsia" w:ascii="宋体" w:hAnsi="宋体" w:cs="宋体"/>
          <w:color w:val="auto"/>
          <w:kern w:val="2"/>
          <w:sz w:val="24"/>
          <w:szCs w:val="24"/>
          <w:highlight w:val="none"/>
          <w:u w:val="none"/>
          <w:lang w:val="en-US" w:eastAsia="zh-CN" w:bidi="ar"/>
        </w:rPr>
        <w:t>7</w:t>
      </w:r>
      <w:r>
        <w:rPr>
          <w:rFonts w:hint="eastAsia" w:ascii="宋体" w:hAnsi="宋体" w:cs="宋体"/>
          <w:color w:val="auto"/>
          <w:kern w:val="2"/>
          <w:sz w:val="24"/>
          <w:szCs w:val="24"/>
          <w:highlight w:val="none"/>
          <w:u w:val="none"/>
          <w:lang w:bidi="ar"/>
        </w:rPr>
        <w:t>月</w:t>
      </w:r>
      <w:r>
        <w:rPr>
          <w:rFonts w:hint="eastAsia" w:ascii="宋体" w:hAnsi="宋体" w:cs="宋体"/>
          <w:color w:val="auto"/>
          <w:kern w:val="2"/>
          <w:sz w:val="24"/>
          <w:szCs w:val="24"/>
          <w:highlight w:val="none"/>
          <w:u w:val="none"/>
          <w:lang w:val="en-US" w:eastAsia="zh-CN" w:bidi="ar"/>
        </w:rPr>
        <w:t>30</w:t>
      </w:r>
      <w:r>
        <w:rPr>
          <w:rFonts w:hint="eastAsia" w:ascii="宋体" w:hAnsi="宋体" w:cs="宋体"/>
          <w:color w:val="auto"/>
          <w:kern w:val="2"/>
          <w:sz w:val="24"/>
          <w:szCs w:val="24"/>
          <w:highlight w:val="none"/>
          <w:u w:val="none"/>
          <w:lang w:bidi="ar"/>
        </w:rPr>
        <w:t>日至2025年</w:t>
      </w:r>
      <w:r>
        <w:rPr>
          <w:rFonts w:hint="eastAsia" w:ascii="宋体" w:hAnsi="宋体" w:cs="宋体"/>
          <w:color w:val="auto"/>
          <w:kern w:val="2"/>
          <w:sz w:val="24"/>
          <w:szCs w:val="24"/>
          <w:highlight w:val="none"/>
          <w:u w:val="none"/>
          <w:lang w:val="en-US" w:eastAsia="zh-CN" w:bidi="ar"/>
        </w:rPr>
        <w:t>8</w:t>
      </w:r>
      <w:r>
        <w:rPr>
          <w:rFonts w:hint="eastAsia" w:ascii="宋体" w:hAnsi="宋体" w:cs="宋体"/>
          <w:color w:val="auto"/>
          <w:kern w:val="2"/>
          <w:sz w:val="24"/>
          <w:szCs w:val="24"/>
          <w:highlight w:val="none"/>
          <w:u w:val="none"/>
          <w:lang w:bidi="ar"/>
        </w:rPr>
        <w:t>月</w:t>
      </w:r>
      <w:r>
        <w:rPr>
          <w:rFonts w:hint="eastAsia" w:ascii="宋体" w:hAnsi="宋体" w:cs="宋体"/>
          <w:color w:val="auto"/>
          <w:kern w:val="2"/>
          <w:sz w:val="24"/>
          <w:szCs w:val="24"/>
          <w:highlight w:val="none"/>
          <w:u w:val="none"/>
          <w:lang w:val="en-US" w:eastAsia="zh-CN" w:bidi="ar"/>
        </w:rPr>
        <w:t>7</w:t>
      </w:r>
      <w:r>
        <w:rPr>
          <w:rFonts w:hint="eastAsia" w:ascii="宋体" w:hAnsi="宋体" w:cs="宋体"/>
          <w:color w:val="auto"/>
          <w:kern w:val="2"/>
          <w:sz w:val="24"/>
          <w:szCs w:val="24"/>
          <w:highlight w:val="none"/>
          <w:u w:val="none"/>
          <w:lang w:bidi="ar"/>
        </w:rPr>
        <w:t>日</w:t>
      </w:r>
      <w:r>
        <w:rPr>
          <w:rFonts w:hint="eastAsia" w:ascii="宋体" w:hAnsi="宋体" w:cs="宋体"/>
          <w:color w:val="auto"/>
          <w:kern w:val="2"/>
          <w:sz w:val="24"/>
          <w:szCs w:val="24"/>
          <w:highlight w:val="none"/>
          <w:lang w:bidi="ar"/>
        </w:rPr>
        <w:t>，每天上午0</w:t>
      </w:r>
      <w:r>
        <w:rPr>
          <w:rFonts w:hint="eastAsia" w:ascii="宋体" w:hAnsi="宋体" w:cs="宋体"/>
          <w:color w:val="auto"/>
          <w:kern w:val="2"/>
          <w:sz w:val="24"/>
          <w:szCs w:val="24"/>
          <w:highlight w:val="none"/>
          <w:lang w:val="en-US" w:eastAsia="zh-CN" w:bidi="ar"/>
        </w:rPr>
        <w:t>6</w:t>
      </w:r>
      <w:r>
        <w:rPr>
          <w:rFonts w:hint="eastAsia" w:ascii="宋体" w:hAnsi="宋体" w:cs="宋体"/>
          <w:color w:val="auto"/>
          <w:kern w:val="2"/>
          <w:sz w:val="24"/>
          <w:szCs w:val="24"/>
          <w:highlight w:val="none"/>
          <w:lang w:bidi="ar"/>
        </w:rPr>
        <w:t>:00至12:00，下午12:00至23:59（北京时间，法定节假日除外）</w:t>
      </w:r>
    </w:p>
    <w:p w14:paraId="1DB75DF5">
      <w:pPr>
        <w:widowControl w:val="0"/>
        <w:spacing w:line="360" w:lineRule="auto"/>
        <w:ind w:firstLine="54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rPr>
        <w:t>地点：</w:t>
      </w:r>
      <w:r>
        <w:rPr>
          <w:rFonts w:hint="eastAsia" w:ascii="宋体" w:hAnsi="宋体" w:cs="宋体"/>
          <w:color w:val="auto"/>
          <w:kern w:val="2"/>
          <w:sz w:val="24"/>
          <w:szCs w:val="24"/>
          <w:highlight w:val="none"/>
          <w:lang w:bidi="ar"/>
        </w:rPr>
        <w:t>“政采云”平台（http：//www.zcygov.cn）</w:t>
      </w:r>
    </w:p>
    <w:p w14:paraId="4FEBC286">
      <w:pPr>
        <w:keepNext w:val="0"/>
        <w:keepLines w:val="0"/>
        <w:pageBreakBefore w:val="0"/>
        <w:widowControl w:val="0"/>
        <w:kinsoku/>
        <w:wordWrap w:val="0"/>
        <w:overflowPunct/>
        <w:topLinePunct w:val="0"/>
        <w:autoSpaceDE/>
        <w:autoSpaceDN/>
        <w:bidi w:val="0"/>
        <w:adjustRightInd/>
        <w:snapToGrid/>
        <w:spacing w:line="360" w:lineRule="auto"/>
        <w:ind w:firstLine="539"/>
        <w:jc w:val="both"/>
        <w:textAlignment w:val="auto"/>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方式：有意参加投标的投标人需要在政采云平台办理数字证书（CA）。完成数字证书（CA）办理后，投标人需要在政采云平台绑定数字证书(CA)，并在平台上获取采购文件和其他相关采购资料。注：CA办理链接：http://yzt.ynsmartcert.cn/cms/yztmdkj.html或者https://middle.zcygov.cn/ca/apply/list?_app_=zcy.sys</w:t>
      </w:r>
    </w:p>
    <w:p w14:paraId="2EDE8002">
      <w:pPr>
        <w:widowControl w:val="0"/>
        <w:spacing w:line="360" w:lineRule="auto"/>
        <w:ind w:firstLine="54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需要注意的是，如果投标人之前已经在云南CA在线数字证书办理网注册并办理了企业数字证书（CA），则可以直接进行绑定，无需重复办理。此外，投标人在政采云平台办理的其他CA也可以直接使用，无需重复办理。如有问题可拨打政采云客户服务热线95763进行咨询，数字证书问题可咨询云南壹证通CA：0871-67276028（紧急可拨19988166369）。</w:t>
      </w:r>
    </w:p>
    <w:p w14:paraId="671BCC4F">
      <w:pPr>
        <w:widowControl w:val="0"/>
        <w:spacing w:line="360" w:lineRule="auto"/>
        <w:ind w:firstLine="540"/>
        <w:jc w:val="both"/>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售价：0元</w:t>
      </w:r>
    </w:p>
    <w:p w14:paraId="68BBF6B5">
      <w:pPr>
        <w:pStyle w:val="3"/>
        <w:widowControl/>
        <w:spacing w:before="0" w:after="0" w:line="360" w:lineRule="auto"/>
        <w:rPr>
          <w:rFonts w:hint="eastAsia" w:ascii="宋体" w:hAnsi="宋体" w:eastAsia="宋体" w:cs="宋体"/>
          <w:bCs w:val="0"/>
          <w:color w:val="auto"/>
          <w:sz w:val="24"/>
          <w:szCs w:val="24"/>
          <w:highlight w:val="none"/>
        </w:rPr>
      </w:pPr>
      <w:bookmarkStart w:id="32" w:name="_Toc25801"/>
      <w:r>
        <w:rPr>
          <w:rFonts w:hint="eastAsia" w:ascii="宋体" w:hAnsi="宋体" w:eastAsia="宋体" w:cs="宋体"/>
          <w:bCs w:val="0"/>
          <w:color w:val="auto"/>
          <w:sz w:val="24"/>
          <w:szCs w:val="24"/>
          <w:highlight w:val="none"/>
        </w:rPr>
        <w:t>四、提交投标文件</w:t>
      </w:r>
      <w:bookmarkEnd w:id="27"/>
      <w:bookmarkEnd w:id="28"/>
      <w:r>
        <w:rPr>
          <w:rFonts w:hint="eastAsia" w:ascii="宋体" w:hAnsi="宋体" w:eastAsia="宋体" w:cs="宋体"/>
          <w:bCs w:val="0"/>
          <w:color w:val="auto"/>
          <w:sz w:val="24"/>
          <w:szCs w:val="24"/>
          <w:highlight w:val="none"/>
        </w:rPr>
        <w:t>截止时间、开标时间和地点</w:t>
      </w:r>
      <w:bookmarkEnd w:id="29"/>
      <w:bookmarkEnd w:id="30"/>
      <w:bookmarkEnd w:id="31"/>
      <w:bookmarkEnd w:id="32"/>
    </w:p>
    <w:p w14:paraId="162D9E8D">
      <w:pPr>
        <w:widowControl w:val="0"/>
        <w:spacing w:line="360" w:lineRule="auto"/>
        <w:ind w:firstLine="480" w:firstLineChars="200"/>
        <w:jc w:val="both"/>
        <w:rPr>
          <w:rFonts w:hint="eastAsia" w:ascii="宋体" w:hAnsi="宋体" w:cs="宋体"/>
          <w:bCs/>
          <w:color w:val="auto"/>
          <w:sz w:val="24"/>
          <w:szCs w:val="24"/>
          <w:highlight w:val="none"/>
          <w:u w:val="single"/>
        </w:rPr>
      </w:pPr>
      <w:bookmarkStart w:id="33" w:name="_Toc35393794"/>
      <w:bookmarkStart w:id="34" w:name="_Toc35393625"/>
      <w:bookmarkStart w:id="35" w:name="_Toc28359084"/>
      <w:bookmarkStart w:id="36" w:name="_Toc28359007"/>
      <w:bookmarkStart w:id="37" w:name="_Toc13971"/>
      <w:r>
        <w:rPr>
          <w:rFonts w:hint="eastAsia" w:ascii="宋体" w:hAnsi="宋体" w:cs="宋体"/>
          <w:color w:val="auto"/>
          <w:kern w:val="2"/>
          <w:sz w:val="24"/>
          <w:szCs w:val="24"/>
          <w:highlight w:val="none"/>
          <w:u w:val="none"/>
          <w:lang w:bidi="ar"/>
        </w:rPr>
        <w:t>2025年</w:t>
      </w:r>
      <w:r>
        <w:rPr>
          <w:rFonts w:hint="eastAsia" w:ascii="宋体" w:hAnsi="宋体" w:cs="宋体"/>
          <w:color w:val="auto"/>
          <w:kern w:val="2"/>
          <w:sz w:val="24"/>
          <w:szCs w:val="24"/>
          <w:highlight w:val="none"/>
          <w:u w:val="none"/>
          <w:lang w:val="en-US" w:eastAsia="zh-CN" w:bidi="ar"/>
        </w:rPr>
        <w:t>8</w:t>
      </w:r>
      <w:r>
        <w:rPr>
          <w:rFonts w:hint="eastAsia" w:ascii="宋体" w:hAnsi="宋体" w:cs="宋体"/>
          <w:color w:val="auto"/>
          <w:kern w:val="2"/>
          <w:sz w:val="24"/>
          <w:szCs w:val="24"/>
          <w:highlight w:val="none"/>
          <w:u w:val="none"/>
          <w:lang w:bidi="ar"/>
        </w:rPr>
        <w:t>月</w:t>
      </w:r>
      <w:r>
        <w:rPr>
          <w:rFonts w:hint="eastAsia" w:ascii="宋体" w:hAnsi="宋体" w:cs="宋体"/>
          <w:color w:val="auto"/>
          <w:kern w:val="2"/>
          <w:sz w:val="24"/>
          <w:szCs w:val="24"/>
          <w:highlight w:val="none"/>
          <w:u w:val="none"/>
          <w:lang w:val="en-US" w:eastAsia="zh-CN" w:bidi="ar"/>
        </w:rPr>
        <w:t>20</w:t>
      </w:r>
      <w:r>
        <w:rPr>
          <w:rFonts w:hint="eastAsia" w:ascii="宋体" w:hAnsi="宋体" w:cs="宋体"/>
          <w:color w:val="auto"/>
          <w:kern w:val="2"/>
          <w:sz w:val="24"/>
          <w:szCs w:val="24"/>
          <w:highlight w:val="none"/>
          <w:u w:val="none"/>
          <w:lang w:bidi="ar"/>
        </w:rPr>
        <w:t>日</w:t>
      </w:r>
      <w:r>
        <w:rPr>
          <w:rFonts w:hint="eastAsia" w:ascii="宋体" w:hAnsi="宋体" w:cs="宋体"/>
          <w:bCs/>
          <w:color w:val="auto"/>
          <w:kern w:val="2"/>
          <w:sz w:val="24"/>
          <w:szCs w:val="24"/>
          <w:highlight w:val="none"/>
          <w:u w:val="none"/>
          <w:lang w:val="en-US" w:eastAsia="zh-CN" w:bidi="ar"/>
        </w:rPr>
        <w:t>09点30</w:t>
      </w:r>
      <w:r>
        <w:rPr>
          <w:rFonts w:hint="eastAsia" w:ascii="宋体" w:hAnsi="宋体" w:cs="宋体"/>
          <w:bCs/>
          <w:color w:val="auto"/>
          <w:kern w:val="2"/>
          <w:sz w:val="24"/>
          <w:szCs w:val="24"/>
          <w:highlight w:val="none"/>
          <w:u w:val="none"/>
          <w:lang w:bidi="ar"/>
        </w:rPr>
        <w:t>分</w:t>
      </w:r>
      <w:r>
        <w:rPr>
          <w:rFonts w:hint="eastAsia" w:ascii="宋体" w:hAnsi="宋体" w:cs="宋体"/>
          <w:bCs/>
          <w:color w:val="auto"/>
          <w:kern w:val="2"/>
          <w:sz w:val="24"/>
          <w:szCs w:val="24"/>
          <w:highlight w:val="none"/>
          <w:lang w:bidi="ar"/>
        </w:rPr>
        <w:t>（北京时间）</w:t>
      </w:r>
    </w:p>
    <w:p w14:paraId="6214F6C7">
      <w:pPr>
        <w:widowControl w:val="0"/>
        <w:spacing w:line="360" w:lineRule="auto"/>
        <w:ind w:firstLine="480" w:firstLineChars="200"/>
        <w:jc w:val="both"/>
        <w:rPr>
          <w:rFonts w:hint="eastAsia" w:ascii="宋体" w:hAnsi="宋体" w:cs="宋体"/>
          <w:bCs/>
          <w:color w:val="auto"/>
          <w:sz w:val="24"/>
          <w:szCs w:val="24"/>
          <w:highlight w:val="none"/>
          <w:u w:val="single"/>
        </w:rPr>
      </w:pPr>
      <w:r>
        <w:rPr>
          <w:rFonts w:hint="eastAsia" w:ascii="宋体" w:hAnsi="宋体" w:cs="宋体"/>
          <w:color w:val="auto"/>
          <w:kern w:val="2"/>
          <w:sz w:val="24"/>
          <w:szCs w:val="24"/>
          <w:highlight w:val="none"/>
          <w:lang w:bidi="ar"/>
        </w:rPr>
        <w:t>地点：投标人应按照本项目采购文件和“政采云”平台的要求编制、加密后在投标文件提交截止时间前上传至“政采云”平台，投标文件提交截止时间前未完成投标文件上传的，视为撤回投标文件。投标人在“政采云”平台提交电子版投标文件时，请填写参加远程采购活动经办人联系方式。开标地点：“政采云”平台开标大厅。</w:t>
      </w:r>
    </w:p>
    <w:p w14:paraId="1D2D86C8">
      <w:pPr>
        <w:pStyle w:val="3"/>
        <w:widowControl/>
        <w:spacing w:before="0" w:after="0" w:line="360" w:lineRule="auto"/>
        <w:rPr>
          <w:rFonts w:hint="eastAsia" w:ascii="宋体" w:hAnsi="宋体" w:eastAsia="宋体" w:cs="宋体"/>
          <w:bCs w:val="0"/>
          <w:color w:val="auto"/>
          <w:sz w:val="24"/>
          <w:szCs w:val="24"/>
          <w:highlight w:val="none"/>
        </w:rPr>
      </w:pPr>
      <w:bookmarkStart w:id="38" w:name="_Toc8885"/>
      <w:r>
        <w:rPr>
          <w:rFonts w:hint="eastAsia" w:ascii="宋体" w:hAnsi="宋体" w:eastAsia="宋体" w:cs="宋体"/>
          <w:bCs w:val="0"/>
          <w:color w:val="auto"/>
          <w:sz w:val="24"/>
          <w:szCs w:val="24"/>
          <w:highlight w:val="none"/>
        </w:rPr>
        <w:t>五、公告期限</w:t>
      </w:r>
      <w:bookmarkEnd w:id="33"/>
      <w:bookmarkEnd w:id="34"/>
      <w:bookmarkEnd w:id="35"/>
      <w:bookmarkEnd w:id="36"/>
      <w:bookmarkEnd w:id="37"/>
      <w:bookmarkEnd w:id="38"/>
    </w:p>
    <w:p w14:paraId="1740DB1B">
      <w:pPr>
        <w:widowControl w:val="0"/>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自本公告发布之日起5个工作日。</w:t>
      </w:r>
    </w:p>
    <w:p w14:paraId="51966874">
      <w:pPr>
        <w:pStyle w:val="3"/>
        <w:widowControl/>
        <w:spacing w:before="0" w:after="0" w:line="360" w:lineRule="auto"/>
        <w:rPr>
          <w:rFonts w:hint="eastAsia" w:ascii="宋体" w:hAnsi="宋体" w:eastAsia="宋体" w:cs="宋体"/>
          <w:bCs w:val="0"/>
          <w:color w:val="auto"/>
          <w:sz w:val="24"/>
          <w:szCs w:val="24"/>
          <w:highlight w:val="none"/>
        </w:rPr>
      </w:pPr>
      <w:bookmarkStart w:id="39" w:name="_Toc35393626"/>
      <w:bookmarkStart w:id="40" w:name="_Toc7518"/>
      <w:bookmarkStart w:id="41" w:name="_Toc35393795"/>
      <w:bookmarkStart w:id="42" w:name="_Toc14132"/>
      <w:r>
        <w:rPr>
          <w:rFonts w:hint="eastAsia" w:ascii="宋体" w:hAnsi="宋体" w:eastAsia="宋体" w:cs="宋体"/>
          <w:bCs w:val="0"/>
          <w:color w:val="auto"/>
          <w:sz w:val="24"/>
          <w:szCs w:val="24"/>
          <w:highlight w:val="none"/>
        </w:rPr>
        <w:t>六、其他补充事宜</w:t>
      </w:r>
      <w:bookmarkEnd w:id="39"/>
      <w:bookmarkEnd w:id="40"/>
      <w:bookmarkEnd w:id="41"/>
      <w:bookmarkEnd w:id="42"/>
    </w:p>
    <w:p w14:paraId="4DA73BFE">
      <w:pPr>
        <w:widowControl w:val="0"/>
        <w:spacing w:line="360" w:lineRule="auto"/>
        <w:ind w:firstLine="480" w:firstLineChars="200"/>
        <w:rPr>
          <w:rFonts w:hint="eastAsia" w:ascii="宋体" w:hAnsi="宋体" w:cs="宋体"/>
          <w:color w:val="auto"/>
          <w:sz w:val="24"/>
          <w:szCs w:val="24"/>
          <w:highlight w:val="none"/>
          <w:u w:val="single"/>
        </w:rPr>
      </w:pPr>
      <w:bookmarkStart w:id="43" w:name="_Toc28979"/>
      <w:bookmarkStart w:id="44" w:name="_Toc35393796"/>
      <w:bookmarkStart w:id="45" w:name="_Toc28359085"/>
      <w:bookmarkStart w:id="46" w:name="_Toc35393627"/>
      <w:bookmarkStart w:id="47" w:name="_Toc28359008"/>
      <w:r>
        <w:rPr>
          <w:rFonts w:hint="eastAsia" w:ascii="宋体" w:hAnsi="宋体" w:cs="宋体"/>
          <w:color w:val="auto"/>
          <w:sz w:val="24"/>
          <w:szCs w:val="24"/>
          <w:highlight w:val="none"/>
        </w:rPr>
        <w:t>1.开标方式：网上开标</w:t>
      </w:r>
    </w:p>
    <w:p w14:paraId="62EF1D3F">
      <w:pPr>
        <w:widowControl w:val="0"/>
        <w:spacing w:line="360" w:lineRule="auto"/>
        <w:ind w:firstLine="480" w:firstLineChars="200"/>
        <w:rPr>
          <w:rFonts w:hint="eastAsia" w:ascii="宋体" w:hAnsi="宋体" w:cs="宋体"/>
          <w:color w:val="auto"/>
          <w:sz w:val="24"/>
          <w:szCs w:val="24"/>
          <w:highlight w:val="none"/>
          <w:u w:val="none"/>
        </w:rPr>
      </w:pPr>
      <w:r>
        <w:rPr>
          <w:rFonts w:hint="eastAsia" w:ascii="宋体" w:hAnsi="宋体" w:cs="宋体"/>
          <w:color w:val="auto"/>
          <w:sz w:val="24"/>
          <w:szCs w:val="24"/>
          <w:highlight w:val="none"/>
        </w:rPr>
        <w:t>2.是否需要缴纳投标保证金：</w:t>
      </w:r>
      <w:r>
        <w:rPr>
          <w:rFonts w:hint="eastAsia" w:ascii="宋体" w:hAnsi="宋体" w:cs="宋体"/>
          <w:color w:val="auto"/>
          <w:sz w:val="24"/>
          <w:szCs w:val="24"/>
          <w:highlight w:val="none"/>
          <w:u w:val="none"/>
        </w:rPr>
        <w:t>是</w:t>
      </w:r>
    </w:p>
    <w:p w14:paraId="579B1A26">
      <w:pPr>
        <w:widowControl w:val="0"/>
        <w:spacing w:line="360" w:lineRule="auto"/>
        <w:ind w:firstLine="480" w:firstLineChars="200"/>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rPr>
        <w:t>3.保证金缴纳金额(元)：</w:t>
      </w:r>
      <w:r>
        <w:rPr>
          <w:rFonts w:hint="eastAsia" w:ascii="宋体" w:hAnsi="宋体" w:cs="宋体"/>
          <w:color w:val="auto"/>
          <w:sz w:val="24"/>
          <w:szCs w:val="24"/>
          <w:highlight w:val="none"/>
          <w:u w:val="none"/>
          <w:lang w:val="en-US" w:eastAsia="zh-CN"/>
        </w:rPr>
        <w:t>1</w:t>
      </w:r>
      <w:r>
        <w:rPr>
          <w:rFonts w:hint="eastAsia" w:ascii="宋体" w:hAnsi="宋体" w:cs="宋体"/>
          <w:color w:val="auto"/>
          <w:sz w:val="24"/>
          <w:szCs w:val="24"/>
          <w:highlight w:val="none"/>
          <w:u w:val="none"/>
        </w:rPr>
        <w:t>0000.00元</w:t>
      </w:r>
    </w:p>
    <w:p w14:paraId="3B49E95A">
      <w:pPr>
        <w:widowControl w:val="0"/>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4.保证金缴纳方式：支票、汇票、本票、保函、转账、网银、电汇等非现金形式</w:t>
      </w:r>
    </w:p>
    <w:p w14:paraId="7ABA7B66">
      <w:pPr>
        <w:widowControl w:val="0"/>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5.保证金缴纳截止时间：</w:t>
      </w:r>
      <w:r>
        <w:rPr>
          <w:rFonts w:hint="eastAsia" w:ascii="宋体" w:hAnsi="宋体" w:cs="宋体"/>
          <w:color w:val="auto"/>
          <w:kern w:val="2"/>
          <w:sz w:val="24"/>
          <w:szCs w:val="24"/>
          <w:highlight w:val="none"/>
          <w:u w:val="none"/>
          <w:lang w:bidi="ar"/>
        </w:rPr>
        <w:t>2025年</w:t>
      </w:r>
      <w:r>
        <w:rPr>
          <w:rFonts w:hint="eastAsia" w:ascii="宋体" w:hAnsi="宋体" w:cs="宋体"/>
          <w:color w:val="auto"/>
          <w:kern w:val="2"/>
          <w:sz w:val="24"/>
          <w:szCs w:val="24"/>
          <w:highlight w:val="none"/>
          <w:u w:val="none"/>
          <w:lang w:val="en-US" w:eastAsia="zh-CN" w:bidi="ar"/>
        </w:rPr>
        <w:t>8</w:t>
      </w:r>
      <w:r>
        <w:rPr>
          <w:rFonts w:hint="eastAsia" w:ascii="宋体" w:hAnsi="宋体" w:cs="宋体"/>
          <w:color w:val="auto"/>
          <w:kern w:val="2"/>
          <w:sz w:val="24"/>
          <w:szCs w:val="24"/>
          <w:highlight w:val="none"/>
          <w:u w:val="none"/>
          <w:lang w:bidi="ar"/>
        </w:rPr>
        <w:t>月</w:t>
      </w:r>
      <w:r>
        <w:rPr>
          <w:rFonts w:hint="eastAsia" w:ascii="宋体" w:hAnsi="宋体" w:cs="宋体"/>
          <w:color w:val="auto"/>
          <w:kern w:val="2"/>
          <w:sz w:val="24"/>
          <w:szCs w:val="24"/>
          <w:highlight w:val="none"/>
          <w:u w:val="none"/>
          <w:lang w:val="en-US" w:eastAsia="zh-CN" w:bidi="ar"/>
        </w:rPr>
        <w:t>20</w:t>
      </w:r>
      <w:r>
        <w:rPr>
          <w:rFonts w:hint="eastAsia" w:ascii="宋体" w:hAnsi="宋体" w:cs="宋体"/>
          <w:color w:val="auto"/>
          <w:kern w:val="2"/>
          <w:sz w:val="24"/>
          <w:szCs w:val="24"/>
          <w:highlight w:val="none"/>
          <w:u w:val="none"/>
          <w:lang w:bidi="ar"/>
        </w:rPr>
        <w:t>日</w:t>
      </w:r>
      <w:r>
        <w:rPr>
          <w:rFonts w:hint="eastAsia" w:ascii="宋体" w:hAnsi="宋体" w:cs="宋体"/>
          <w:bCs/>
          <w:color w:val="auto"/>
          <w:kern w:val="2"/>
          <w:sz w:val="24"/>
          <w:szCs w:val="24"/>
          <w:highlight w:val="none"/>
          <w:u w:val="none"/>
          <w:lang w:val="en-US" w:eastAsia="zh-CN" w:bidi="ar"/>
        </w:rPr>
        <w:t>09点30</w:t>
      </w:r>
      <w:r>
        <w:rPr>
          <w:rFonts w:hint="eastAsia" w:ascii="宋体" w:hAnsi="宋体" w:cs="宋体"/>
          <w:bCs/>
          <w:color w:val="auto"/>
          <w:kern w:val="2"/>
          <w:sz w:val="24"/>
          <w:szCs w:val="24"/>
          <w:highlight w:val="none"/>
          <w:u w:val="none"/>
          <w:lang w:bidi="ar"/>
        </w:rPr>
        <w:t>分</w:t>
      </w:r>
      <w:r>
        <w:rPr>
          <w:rFonts w:hint="eastAsia" w:ascii="宋体" w:hAnsi="宋体" w:cs="宋体"/>
          <w:bCs/>
          <w:color w:val="auto"/>
          <w:kern w:val="2"/>
          <w:sz w:val="24"/>
          <w:szCs w:val="24"/>
          <w:highlight w:val="none"/>
          <w:lang w:bidi="ar"/>
        </w:rPr>
        <w:t>（北京时间）</w:t>
      </w:r>
    </w:p>
    <w:p w14:paraId="79F86FB4">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6.其他：</w:t>
      </w:r>
    </w:p>
    <w:p w14:paraId="57D0FDF6">
      <w:pPr>
        <w:widowControl w:val="0"/>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6.1本次招标公告在云南省政府采购网（http://www.ccgp.gov.cn/）上发布，公告内容和时间以云南省政府采购网发布的信息为准。</w:t>
      </w:r>
    </w:p>
    <w:p w14:paraId="222384E2">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6.2本项目执行政府采购促进中小企业发展、支持监狱企业、促进残疾人就业、强制采购和优先采购节能、环保产品等政府采购政策。</w:t>
      </w:r>
    </w:p>
    <w:p w14:paraId="75AEA268">
      <w:pPr>
        <w:keepNext w:val="0"/>
        <w:keepLines w:val="0"/>
        <w:pageBreakBefore w:val="0"/>
        <w:widowControl w:val="0"/>
        <w:kinsoku/>
        <w:wordWrap w:val="0"/>
        <w:overflowPunct/>
        <w:topLinePunct w:val="0"/>
        <w:autoSpaceDE/>
        <w:autoSpaceDN/>
        <w:bidi w:val="0"/>
        <w:adjustRightInd/>
        <w:snapToGrid/>
        <w:spacing w:line="360" w:lineRule="auto"/>
        <w:ind w:firstLine="539"/>
        <w:jc w:val="both"/>
        <w:textAlignment w:val="auto"/>
        <w:rPr>
          <w:rFonts w:hint="eastAsia" w:ascii="宋体" w:hAnsi="宋体" w:eastAsia="宋体" w:cs="宋体"/>
          <w:color w:val="auto"/>
          <w:kern w:val="2"/>
          <w:sz w:val="24"/>
          <w:szCs w:val="24"/>
          <w:highlight w:val="none"/>
          <w:lang w:eastAsia="zh-CN" w:bidi="ar"/>
        </w:rPr>
      </w:pPr>
      <w:r>
        <w:rPr>
          <w:rFonts w:hint="eastAsia" w:ascii="宋体" w:hAnsi="宋体" w:cs="宋体"/>
          <w:color w:val="auto"/>
          <w:kern w:val="2"/>
          <w:sz w:val="24"/>
          <w:szCs w:val="24"/>
          <w:highlight w:val="none"/>
          <w:lang w:bidi="ar"/>
        </w:rPr>
        <w:t>6.3获取招标文件的方式：有意参加投标的投标人需要在政采云平台办理数字证书（CA）。完成数字证书（CA）办理后，投标人需要在政采云平台绑定数字证书(CA)，并在平台上获取采购文件和其他相关采购资料。注：CA办理链接：http://yzt.ynsmartcert.cn/cms/yztmdkj.html或者https://middle.zcygov.cn/ca/apply/list?_app_=zcy.sys</w:t>
      </w:r>
      <w:r>
        <w:rPr>
          <w:rFonts w:hint="eastAsia" w:ascii="宋体" w:hAnsi="宋体" w:cs="宋体"/>
          <w:color w:val="auto"/>
          <w:kern w:val="2"/>
          <w:sz w:val="24"/>
          <w:szCs w:val="24"/>
          <w:highlight w:val="none"/>
          <w:lang w:eastAsia="zh-CN" w:bidi="ar"/>
        </w:rPr>
        <w:t>。</w:t>
      </w:r>
    </w:p>
    <w:p w14:paraId="7C0FB167">
      <w:pPr>
        <w:widowControl w:val="0"/>
        <w:spacing w:line="360" w:lineRule="auto"/>
        <w:ind w:firstLine="54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需要注意的是，如果投标人之前已经在云南CA在线数字证书办理网注册并办理了企业数字证书（CA），则可以直接进行绑定，无需重复办理。此外，投标人在政采云平台办理的其他CA也可以直接使用，无需重复办理。如有问题可拨打政采云客户服务热线95763进行咨询，数字证书问题可咨询云南壹证通CA：0871-67276028（紧急可拨19988166369）。</w:t>
      </w:r>
    </w:p>
    <w:p w14:paraId="14055979">
      <w:pPr>
        <w:pStyle w:val="3"/>
        <w:widowControl/>
        <w:spacing w:before="0" w:after="0" w:line="360" w:lineRule="auto"/>
        <w:rPr>
          <w:rFonts w:hint="eastAsia" w:ascii="宋体" w:hAnsi="宋体" w:eastAsia="宋体" w:cs="宋体"/>
          <w:bCs w:val="0"/>
          <w:color w:val="auto"/>
          <w:sz w:val="24"/>
          <w:szCs w:val="24"/>
          <w:highlight w:val="none"/>
        </w:rPr>
      </w:pPr>
      <w:bookmarkStart w:id="48" w:name="_Toc5067"/>
      <w:r>
        <w:rPr>
          <w:rFonts w:hint="eastAsia" w:ascii="宋体" w:hAnsi="宋体" w:eastAsia="宋体" w:cs="宋体"/>
          <w:bCs w:val="0"/>
          <w:color w:val="auto"/>
          <w:sz w:val="24"/>
          <w:szCs w:val="24"/>
          <w:highlight w:val="none"/>
        </w:rPr>
        <w:t>七、对本次招标提出询问，请按以下方式联系</w:t>
      </w:r>
      <w:bookmarkEnd w:id="43"/>
      <w:bookmarkEnd w:id="44"/>
      <w:bookmarkEnd w:id="45"/>
      <w:bookmarkEnd w:id="46"/>
      <w:bookmarkEnd w:id="47"/>
      <w:bookmarkEnd w:id="48"/>
    </w:p>
    <w:p w14:paraId="5AE5CAD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1.采购人信息</w:t>
      </w:r>
    </w:p>
    <w:p w14:paraId="2C52E94A">
      <w:pPr>
        <w:widowControl w:val="0"/>
        <w:spacing w:line="360" w:lineRule="auto"/>
        <w:ind w:firstLine="480" w:firstLineChars="200"/>
        <w:rPr>
          <w:rFonts w:hint="eastAsia" w:ascii="宋体" w:hAnsi="宋体" w:eastAsia="宋体" w:cs="宋体"/>
          <w:color w:val="auto"/>
          <w:sz w:val="24"/>
          <w:szCs w:val="24"/>
          <w:highlight w:val="none"/>
          <w:u w:val="none"/>
          <w:lang w:eastAsia="zh-CN"/>
        </w:rPr>
      </w:pPr>
      <w:bookmarkStart w:id="49" w:name="_Toc28359086"/>
      <w:bookmarkStart w:id="50" w:name="_Toc28359009"/>
      <w:r>
        <w:rPr>
          <w:rFonts w:hint="eastAsia" w:ascii="宋体" w:hAnsi="宋体" w:cs="宋体"/>
          <w:color w:val="auto"/>
          <w:sz w:val="24"/>
          <w:szCs w:val="24"/>
          <w:highlight w:val="none"/>
          <w:u w:val="none"/>
        </w:rPr>
        <w:t>名    称：</w:t>
      </w:r>
      <w:r>
        <w:rPr>
          <w:rFonts w:hint="eastAsia" w:ascii="宋体" w:hAnsi="宋体" w:cs="宋体"/>
          <w:color w:val="auto"/>
          <w:sz w:val="24"/>
          <w:szCs w:val="24"/>
          <w:highlight w:val="none"/>
          <w:u w:val="none"/>
          <w:lang w:eastAsia="zh-CN"/>
        </w:rPr>
        <w:t>怒江傈僳族自治州中医医院</w:t>
      </w:r>
    </w:p>
    <w:p w14:paraId="64DD5298">
      <w:pPr>
        <w:widowControl w:val="0"/>
        <w:spacing w:line="360" w:lineRule="auto"/>
        <w:ind w:firstLine="480" w:firstLineChars="200"/>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地    址：</w:t>
      </w:r>
      <w:r>
        <w:rPr>
          <w:rFonts w:hint="eastAsia" w:ascii="宋体" w:hAnsi="宋体" w:eastAsia="宋体" w:cs="Times New Roman"/>
          <w:color w:val="auto"/>
          <w:sz w:val="24"/>
          <w:highlight w:val="none"/>
          <w:lang w:eastAsia="zh-CN"/>
        </w:rPr>
        <w:t>怒江州泸水市</w:t>
      </w:r>
      <w:r>
        <w:rPr>
          <w:rFonts w:hint="eastAsia" w:ascii="宋体" w:hAnsi="宋体" w:eastAsia="宋体" w:cs="Times New Roman"/>
          <w:color w:val="auto"/>
          <w:sz w:val="24"/>
          <w:highlight w:val="none"/>
          <w:lang w:val="en-US" w:eastAsia="zh-CN"/>
        </w:rPr>
        <w:t>大练地街道办怒江傈僳族自治州中医医院</w:t>
      </w:r>
    </w:p>
    <w:p w14:paraId="78F18717">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none"/>
        </w:rPr>
        <w:t>联系方式：龙彬、郝雨(0886)3051880</w:t>
      </w:r>
    </w:p>
    <w:p w14:paraId="6E00CCFE">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2.采购代理机构信息</w:t>
      </w:r>
      <w:bookmarkEnd w:id="49"/>
      <w:bookmarkEnd w:id="50"/>
    </w:p>
    <w:p w14:paraId="34F0B7EC">
      <w:pPr>
        <w:widowControl w:val="0"/>
        <w:spacing w:line="360" w:lineRule="auto"/>
        <w:ind w:firstLine="480" w:firstLineChars="200"/>
        <w:jc w:val="both"/>
        <w:rPr>
          <w:rFonts w:hint="eastAsia" w:ascii="宋体" w:hAnsi="宋体" w:cs="宋体"/>
          <w:color w:val="auto"/>
          <w:sz w:val="24"/>
          <w:szCs w:val="24"/>
          <w:highlight w:val="none"/>
          <w:u w:val="none"/>
        </w:rPr>
      </w:pPr>
      <w:bookmarkStart w:id="51" w:name="_Toc28359087"/>
      <w:bookmarkStart w:id="52" w:name="_Toc28359010"/>
      <w:bookmarkStart w:id="53" w:name="_Toc18212"/>
      <w:r>
        <w:rPr>
          <w:rFonts w:hint="eastAsia" w:ascii="宋体" w:hAnsi="宋体" w:cs="宋体"/>
          <w:color w:val="auto"/>
          <w:kern w:val="2"/>
          <w:sz w:val="24"/>
          <w:szCs w:val="24"/>
          <w:highlight w:val="none"/>
          <w:u w:val="none"/>
          <w:lang w:bidi="ar"/>
        </w:rPr>
        <w:t xml:space="preserve">名 </w:t>
      </w:r>
      <w:r>
        <w:rPr>
          <w:rFonts w:hint="eastAsia" w:ascii="宋体" w:hAnsi="宋体" w:cs="宋体"/>
          <w:color w:val="auto"/>
          <w:kern w:val="2"/>
          <w:sz w:val="24"/>
          <w:szCs w:val="24"/>
          <w:highlight w:val="none"/>
          <w:u w:val="none"/>
          <w:lang w:val="en-US" w:eastAsia="zh-CN" w:bidi="ar"/>
        </w:rPr>
        <w:t xml:space="preserve">   </w:t>
      </w:r>
      <w:r>
        <w:rPr>
          <w:rFonts w:hint="eastAsia" w:ascii="宋体" w:hAnsi="宋体" w:cs="宋体"/>
          <w:color w:val="auto"/>
          <w:kern w:val="2"/>
          <w:sz w:val="24"/>
          <w:szCs w:val="24"/>
          <w:highlight w:val="none"/>
          <w:u w:val="none"/>
          <w:lang w:bidi="ar"/>
        </w:rPr>
        <w:t>称：云南元大工程咨询有限责任公司</w:t>
      </w:r>
    </w:p>
    <w:p w14:paraId="7369592E">
      <w:pPr>
        <w:widowControl w:val="0"/>
        <w:spacing w:line="360" w:lineRule="auto"/>
        <w:ind w:firstLine="480" w:firstLineChars="200"/>
        <w:jc w:val="both"/>
        <w:rPr>
          <w:rFonts w:hint="eastAsia" w:ascii="宋体" w:hAnsi="宋体" w:cs="宋体"/>
          <w:color w:val="auto"/>
          <w:sz w:val="24"/>
          <w:szCs w:val="24"/>
          <w:highlight w:val="none"/>
          <w:u w:val="none"/>
        </w:rPr>
      </w:pPr>
      <w:r>
        <w:rPr>
          <w:rFonts w:hint="eastAsia" w:ascii="宋体" w:hAnsi="宋体" w:cs="宋体"/>
          <w:color w:val="auto"/>
          <w:kern w:val="2"/>
          <w:sz w:val="24"/>
          <w:szCs w:val="24"/>
          <w:highlight w:val="none"/>
          <w:u w:val="none"/>
          <w:lang w:bidi="ar"/>
        </w:rPr>
        <w:t>地</w:t>
      </w:r>
      <w:r>
        <w:rPr>
          <w:rFonts w:hint="eastAsia" w:ascii="宋体" w:hAnsi="宋体" w:cs="宋体"/>
          <w:color w:val="auto"/>
          <w:kern w:val="2"/>
          <w:sz w:val="24"/>
          <w:szCs w:val="24"/>
          <w:highlight w:val="none"/>
          <w:u w:val="none"/>
          <w:lang w:val="en-US" w:eastAsia="zh-CN" w:bidi="ar"/>
        </w:rPr>
        <w:t xml:space="preserve">    </w:t>
      </w:r>
      <w:r>
        <w:rPr>
          <w:rFonts w:hint="eastAsia" w:ascii="宋体" w:hAnsi="宋体" w:cs="宋体"/>
          <w:color w:val="auto"/>
          <w:kern w:val="2"/>
          <w:sz w:val="24"/>
          <w:szCs w:val="24"/>
          <w:highlight w:val="none"/>
          <w:u w:val="none"/>
          <w:lang w:bidi="ar"/>
        </w:rPr>
        <w:t>址：云南省昆明市盘龙区联盟路与万宏路交汇处万宏嘉园沣苑（地块三）B座15楼（奥斯迪商务中心B座15楼）</w:t>
      </w:r>
    </w:p>
    <w:p w14:paraId="4A952586">
      <w:pPr>
        <w:widowControl w:val="0"/>
        <w:spacing w:line="360" w:lineRule="auto"/>
        <w:ind w:firstLine="480" w:firstLineChars="200"/>
        <w:jc w:val="both"/>
        <w:rPr>
          <w:rFonts w:hint="eastAsia" w:ascii="宋体" w:hAnsi="宋体" w:cs="宋体"/>
          <w:color w:val="auto"/>
          <w:kern w:val="2"/>
          <w:sz w:val="24"/>
          <w:szCs w:val="24"/>
          <w:highlight w:val="none"/>
          <w:u w:val="none"/>
          <w:lang w:bidi="ar"/>
        </w:rPr>
      </w:pPr>
      <w:r>
        <w:rPr>
          <w:rFonts w:hint="eastAsia" w:ascii="宋体" w:hAnsi="宋体" w:cs="宋体"/>
          <w:color w:val="auto"/>
          <w:kern w:val="2"/>
          <w:sz w:val="24"/>
          <w:szCs w:val="24"/>
          <w:highlight w:val="none"/>
          <w:u w:val="none"/>
          <w:lang w:bidi="ar"/>
        </w:rPr>
        <w:t>联系方式：0871-63335856</w:t>
      </w:r>
    </w:p>
    <w:p w14:paraId="0942530F">
      <w:pPr>
        <w:widowControl w:val="0"/>
        <w:spacing w:line="360" w:lineRule="auto"/>
        <w:ind w:firstLine="480" w:firstLineChars="200"/>
        <w:jc w:val="both"/>
        <w:rPr>
          <w:rFonts w:hint="eastAsia" w:ascii="宋体" w:hAnsi="宋体" w:cs="宋体"/>
          <w:color w:val="auto"/>
          <w:sz w:val="24"/>
          <w:szCs w:val="24"/>
          <w:highlight w:val="none"/>
          <w:u w:val="none"/>
        </w:rPr>
      </w:pPr>
      <w:r>
        <w:rPr>
          <w:rFonts w:hint="eastAsia" w:ascii="宋体" w:hAnsi="宋体" w:cs="宋体"/>
          <w:color w:val="auto"/>
          <w:kern w:val="2"/>
          <w:sz w:val="24"/>
          <w:szCs w:val="24"/>
          <w:highlight w:val="none"/>
          <w:u w:val="none"/>
          <w:lang w:bidi="ar"/>
        </w:rPr>
        <w:t>3.项目联系方式</w:t>
      </w:r>
      <w:bookmarkEnd w:id="51"/>
      <w:bookmarkEnd w:id="52"/>
    </w:p>
    <w:p w14:paraId="46621EA9">
      <w:pPr>
        <w:widowControl w:val="0"/>
        <w:spacing w:line="360" w:lineRule="auto"/>
        <w:ind w:firstLine="480" w:firstLineChars="200"/>
        <w:jc w:val="both"/>
        <w:rPr>
          <w:rFonts w:hint="eastAsia" w:ascii="宋体" w:hAnsi="宋体" w:eastAsia="宋体" w:cs="宋体"/>
          <w:color w:val="auto"/>
          <w:sz w:val="24"/>
          <w:szCs w:val="24"/>
          <w:highlight w:val="none"/>
          <w:u w:val="none"/>
          <w:lang w:val="en-US" w:eastAsia="zh-CN"/>
        </w:rPr>
      </w:pPr>
      <w:r>
        <w:rPr>
          <w:rFonts w:hint="eastAsia" w:ascii="宋体" w:hAnsi="宋体" w:cs="宋体"/>
          <w:color w:val="auto"/>
          <w:kern w:val="2"/>
          <w:sz w:val="24"/>
          <w:szCs w:val="24"/>
          <w:highlight w:val="none"/>
          <w:u w:val="none"/>
          <w:lang w:bidi="ar"/>
        </w:rPr>
        <w:t>项目联系人：段广超、陶泽强、毛冬慧、闫梅</w:t>
      </w:r>
      <w:r>
        <w:rPr>
          <w:rFonts w:hint="eastAsia" w:ascii="宋体" w:hAnsi="宋体" w:cs="宋体"/>
          <w:color w:val="auto"/>
          <w:kern w:val="2"/>
          <w:sz w:val="24"/>
          <w:szCs w:val="24"/>
          <w:highlight w:val="none"/>
          <w:u w:val="none"/>
          <w:lang w:eastAsia="zh-CN" w:bidi="ar"/>
        </w:rPr>
        <w:t>（</w:t>
      </w:r>
      <w:r>
        <w:rPr>
          <w:rFonts w:hint="eastAsia" w:ascii="宋体" w:hAnsi="宋体" w:cs="宋体"/>
          <w:color w:val="auto"/>
          <w:kern w:val="2"/>
          <w:sz w:val="24"/>
          <w:szCs w:val="24"/>
          <w:highlight w:val="none"/>
          <w:u w:val="none"/>
          <w:lang w:val="en-US" w:eastAsia="zh-CN" w:bidi="ar"/>
        </w:rPr>
        <w:t>采购代理机构</w:t>
      </w:r>
      <w:r>
        <w:rPr>
          <w:rFonts w:hint="eastAsia" w:ascii="宋体" w:hAnsi="宋体" w:cs="宋体"/>
          <w:color w:val="auto"/>
          <w:kern w:val="2"/>
          <w:sz w:val="24"/>
          <w:szCs w:val="24"/>
          <w:highlight w:val="none"/>
          <w:u w:val="none"/>
          <w:lang w:eastAsia="zh-CN" w:bidi="ar"/>
        </w:rPr>
        <w:t>）</w:t>
      </w:r>
      <w:r>
        <w:rPr>
          <w:rFonts w:hint="eastAsia" w:ascii="宋体" w:hAnsi="宋体" w:cs="宋体"/>
          <w:color w:val="auto"/>
          <w:kern w:val="2"/>
          <w:sz w:val="24"/>
          <w:szCs w:val="24"/>
          <w:highlight w:val="none"/>
          <w:u w:val="none"/>
          <w:lang w:val="en-US" w:eastAsia="zh-CN" w:bidi="ar"/>
        </w:rPr>
        <w:t>、</w:t>
      </w:r>
      <w:r>
        <w:rPr>
          <w:rFonts w:hint="eastAsia" w:ascii="宋体" w:hAnsi="宋体" w:cs="宋体"/>
          <w:color w:val="auto"/>
          <w:sz w:val="24"/>
          <w:szCs w:val="24"/>
          <w:highlight w:val="none"/>
          <w:u w:val="none"/>
        </w:rPr>
        <w:t>龙彬、郝雨</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采购人</w:t>
      </w:r>
      <w:r>
        <w:rPr>
          <w:rFonts w:hint="eastAsia" w:ascii="宋体" w:hAnsi="宋体" w:cs="宋体"/>
          <w:color w:val="auto"/>
          <w:sz w:val="24"/>
          <w:szCs w:val="24"/>
          <w:highlight w:val="none"/>
          <w:u w:val="none"/>
          <w:lang w:eastAsia="zh-CN"/>
        </w:rPr>
        <w:t>）</w:t>
      </w:r>
    </w:p>
    <w:p w14:paraId="5A54D2C6">
      <w:pPr>
        <w:widowControl w:val="0"/>
        <w:spacing w:line="360" w:lineRule="auto"/>
        <w:ind w:firstLine="480" w:firstLineChars="200"/>
        <w:rPr>
          <w:rFonts w:hint="eastAsia" w:ascii="宋体" w:hAnsi="宋体" w:cs="宋体"/>
          <w:color w:val="auto"/>
          <w:sz w:val="24"/>
          <w:szCs w:val="24"/>
          <w:highlight w:val="none"/>
          <w:u w:val="none"/>
          <w:lang w:eastAsia="zh-CN"/>
        </w:rPr>
      </w:pPr>
      <w:r>
        <w:rPr>
          <w:rFonts w:hint="eastAsia" w:ascii="宋体" w:hAnsi="宋体" w:cs="宋体"/>
          <w:color w:val="auto"/>
          <w:kern w:val="2"/>
          <w:sz w:val="24"/>
          <w:szCs w:val="24"/>
          <w:highlight w:val="none"/>
          <w:u w:val="none"/>
          <w:lang w:bidi="ar"/>
        </w:rPr>
        <w:t>电</w:t>
      </w:r>
      <w:r>
        <w:rPr>
          <w:rFonts w:hint="eastAsia" w:ascii="宋体" w:hAnsi="宋体" w:cs="宋体"/>
          <w:color w:val="auto"/>
          <w:kern w:val="2"/>
          <w:sz w:val="24"/>
          <w:szCs w:val="24"/>
          <w:highlight w:val="none"/>
          <w:u w:val="none"/>
          <w:lang w:val="en-US" w:eastAsia="zh-CN" w:bidi="ar"/>
        </w:rPr>
        <w:t xml:space="preserve">    </w:t>
      </w:r>
      <w:r>
        <w:rPr>
          <w:rFonts w:hint="eastAsia" w:ascii="宋体" w:hAnsi="宋体" w:cs="宋体"/>
          <w:color w:val="auto"/>
          <w:kern w:val="2"/>
          <w:sz w:val="24"/>
          <w:szCs w:val="24"/>
          <w:highlight w:val="none"/>
          <w:u w:val="none"/>
          <w:lang w:bidi="ar"/>
        </w:rPr>
        <w:t>话：0871-63335856</w:t>
      </w:r>
      <w:r>
        <w:rPr>
          <w:rFonts w:hint="eastAsia" w:ascii="宋体" w:hAnsi="宋体" w:cs="宋体"/>
          <w:color w:val="auto"/>
          <w:kern w:val="2"/>
          <w:sz w:val="24"/>
          <w:szCs w:val="24"/>
          <w:highlight w:val="none"/>
          <w:u w:val="none"/>
          <w:lang w:eastAsia="zh-CN" w:bidi="ar"/>
        </w:rPr>
        <w:t>（</w:t>
      </w:r>
      <w:r>
        <w:rPr>
          <w:rFonts w:hint="eastAsia" w:ascii="宋体" w:hAnsi="宋体" w:cs="宋体"/>
          <w:color w:val="auto"/>
          <w:kern w:val="2"/>
          <w:sz w:val="24"/>
          <w:szCs w:val="24"/>
          <w:highlight w:val="none"/>
          <w:u w:val="none"/>
          <w:lang w:val="en-US" w:eastAsia="zh-CN" w:bidi="ar"/>
        </w:rPr>
        <w:t>采购代理机构</w:t>
      </w:r>
      <w:r>
        <w:rPr>
          <w:rFonts w:hint="eastAsia" w:ascii="宋体" w:hAnsi="宋体" w:cs="宋体"/>
          <w:color w:val="auto"/>
          <w:kern w:val="2"/>
          <w:sz w:val="24"/>
          <w:szCs w:val="24"/>
          <w:highlight w:val="none"/>
          <w:u w:val="none"/>
          <w:lang w:eastAsia="zh-CN" w:bidi="ar"/>
        </w:rPr>
        <w:t>）、</w:t>
      </w:r>
      <w:r>
        <w:rPr>
          <w:rFonts w:hint="eastAsia" w:ascii="宋体" w:hAnsi="宋体" w:cs="宋体"/>
          <w:color w:val="auto"/>
          <w:sz w:val="24"/>
          <w:szCs w:val="24"/>
          <w:highlight w:val="none"/>
          <w:u w:val="none"/>
        </w:rPr>
        <w:t>(0886)3051880</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采购人</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none"/>
          <w:lang w:eastAsia="zh-CN"/>
        </w:rPr>
        <w:br w:type="page"/>
      </w:r>
    </w:p>
    <w:p w14:paraId="26F0310D">
      <w:pPr>
        <w:widowControl w:val="0"/>
        <w:spacing w:line="360" w:lineRule="auto"/>
        <w:rPr>
          <w:rFonts w:hint="eastAsia" w:ascii="宋体" w:hAnsi="宋体" w:cs="宋体"/>
          <w:b/>
          <w:bCs/>
          <w:color w:val="auto"/>
          <w:sz w:val="28"/>
          <w:szCs w:val="28"/>
          <w:highlight w:val="none"/>
          <w:u w:val="none"/>
          <w:lang w:val="en-US" w:eastAsia="zh-CN"/>
        </w:rPr>
      </w:pPr>
      <w:r>
        <w:rPr>
          <w:rFonts w:hint="eastAsia" w:ascii="宋体" w:hAnsi="宋体" w:cs="宋体"/>
          <w:b/>
          <w:bCs/>
          <w:color w:val="auto"/>
          <w:sz w:val="28"/>
          <w:szCs w:val="28"/>
          <w:highlight w:val="none"/>
          <w:u w:val="none"/>
          <w:lang w:val="en-US" w:eastAsia="zh-CN"/>
        </w:rPr>
        <w:t>附件：</w:t>
      </w:r>
    </w:p>
    <w:p w14:paraId="210E90E0">
      <w:pPr>
        <w:widowControl w:val="0"/>
        <w:spacing w:line="360" w:lineRule="auto"/>
        <w:ind w:firstLine="482" w:firstLineChars="200"/>
        <w:jc w:val="both"/>
        <w:rPr>
          <w:rFonts w:hint="eastAsia" w:ascii="宋体" w:hAnsi="宋体" w:cs="宋体"/>
          <w:b/>
          <w:bCs/>
          <w:color w:val="auto"/>
          <w:sz w:val="24"/>
          <w:szCs w:val="24"/>
          <w:highlight w:val="none"/>
          <w:u w:val="none"/>
          <w:lang w:val="en-US" w:eastAsia="zh-CN"/>
        </w:rPr>
      </w:pPr>
      <w:r>
        <w:rPr>
          <w:rFonts w:hint="eastAsia" w:ascii="宋体" w:hAnsi="宋体" w:cs="宋体"/>
          <w:b/>
          <w:bCs/>
          <w:color w:val="auto"/>
          <w:sz w:val="24"/>
          <w:szCs w:val="24"/>
          <w:highlight w:val="none"/>
          <w:u w:val="none"/>
          <w:lang w:val="en-US" w:eastAsia="zh-CN"/>
        </w:rPr>
        <w:t>标段一、普通耗材</w:t>
      </w:r>
    </w:p>
    <w:tbl>
      <w:tblPr>
        <w:tblStyle w:val="33"/>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9"/>
        <w:gridCol w:w="1528"/>
        <w:gridCol w:w="2112"/>
        <w:gridCol w:w="765"/>
        <w:gridCol w:w="1410"/>
        <w:gridCol w:w="1095"/>
        <w:gridCol w:w="1125"/>
        <w:gridCol w:w="1296"/>
      </w:tblGrid>
      <w:tr w14:paraId="7A2C2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B658">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58DB4">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名称</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5A0AB">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规格</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1763E">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单位</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2BA18">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数量（一年使用量）</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71FA">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单价（元）</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42BCD">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总预算价（元）</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203AF">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是否阳光平台采购</w:t>
            </w:r>
          </w:p>
        </w:tc>
      </w:tr>
      <w:tr w14:paraId="16205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615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7DC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F04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ACD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BFA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7B0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B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5F0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B253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D5C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BC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06C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0.25*75mm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7DE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075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75A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6F1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60E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7E7F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42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15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E3B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0.30*50mm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0F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FE2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A6F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89B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76D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3C39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F2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D5D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E64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0.18*13mm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D6D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8AF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CD9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B88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1E2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ED8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F36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CF7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535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0.30*75mm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9CF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0C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D7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E20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0BC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B9A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C37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EE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C75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0.35*75mm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C8F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2EB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AC6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4CC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91A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A32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8E9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EAD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D5C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4BA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2E5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06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5C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FEB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03A2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E10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BB1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912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BF5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EC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421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957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264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8E9A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7C9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DB0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ED8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36F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38C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ED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AE6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2C4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3D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DB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59C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B28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0.25*25mm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0E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568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166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59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1CB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731D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607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F75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EA3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800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5D5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FC2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52C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9F0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92C7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21C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4C5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48C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0.25*13mm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F7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338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B5C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7F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FD3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031D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640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728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0FC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03A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AA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664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E43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43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43D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B76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6C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238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12F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DA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2AF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01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356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93ED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D28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5A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医用脱脂棉纱布块（非灭菌型）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A88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937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2D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F06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1CB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1B3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F236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DC3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75F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EEA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001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4C5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42F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9CA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84F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1A3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98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0D9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7E8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中头式1ml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961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95D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2E1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74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662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BAB8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D9C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149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一次性使用吸引管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149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D50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43C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BF5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BFC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E17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309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AA3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32C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076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0.5mm*19.7mm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E5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367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F2E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CC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3FE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36E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B14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AFB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一次性使用连接管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640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LJG-D</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77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857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199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93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A0A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5675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0B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6F9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7EA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0.30x40mm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55D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3DE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19A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7C7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2C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B5A7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0EE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CC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一次性使用静脉采血针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706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100支/袋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E4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E3C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5E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44F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F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3309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521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6DB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A0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中头式5ml 0.6*28.5mm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9A9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B89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FDA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D81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DE8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7FA2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57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BB3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64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10ml 1.2*32mm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A46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DAD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385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046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14B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8FE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1BC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A9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95B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偏头式20ml 1.2*32mm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F19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743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60C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745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E9F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02C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BE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F2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D2B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中头式5ml 0.5*38mm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BAB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5A5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AD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70E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27E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05B3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51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B9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21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DBA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267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422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0B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F8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F119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95C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2D8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C04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6cm*8cm*8cm*120片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EB0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159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E92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B3A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38A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C8DC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7CD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A09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医用脱脂棉纱布块（灭菌型）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04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6cm*6cm*6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B15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11A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04F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49E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25B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5FB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11E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2AD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医用留置针贴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748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2F8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138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7A2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BCB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FB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F5E4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0F7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969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296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8cm*8cm*8P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E52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B8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A21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5DB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516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0FE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99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813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6864透气胶带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649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4cm*4cm*500片/袋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C9B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贴</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8DA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0A4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6B9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5BB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E5EE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39E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690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6864透气胶带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10B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5.0cm*5.0cm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A3D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587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85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A3C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A36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5CD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F53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B7B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一次性使用无菌阴道扩张器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C4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A型轴转式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58B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C0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403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C39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7B2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8E8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55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1A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医用无菌敷贴（自粘敷料）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FE4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7cm*9cm*50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F0F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17B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2CB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35F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20A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6A2E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49B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7DA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医用外科口罩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646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小号、中号、大号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7AB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BB8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6DC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76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12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599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CF7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805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35C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B1-1  0.6*24TWLB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57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4FD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F59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A4B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57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ECA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069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6C3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一次性使用捆扎止血带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DE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CD2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7B3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2FB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E2B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95D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02F8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984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927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一次性使用心电电极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14B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银/氯化银Ag/AgC1 LT-301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4F3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670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6B6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D9C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846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FAF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676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A96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421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50ml 1.6*32mm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7A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636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C1D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D7D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93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233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42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7C9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一次性使用肝素帽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DD2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I型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714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02C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0BB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E31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1DF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CEA4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C82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2C3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一次性医用中单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056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60cm*80cm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01D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95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7A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F1C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17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9B2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36F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681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7CE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B1-5 0.6*24TWLB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DBA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18D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7D5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875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A48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392D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A87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C4E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3C8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B1-5 0.7mm*24TWLB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F3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18C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276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764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C3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04A9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E7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2EB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29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B1-5 0.7*25TWLB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D0D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1E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F0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786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DDC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44E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9F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78B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麻醉导管及接头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03F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E1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C30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763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4E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D02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A548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69F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B3D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微量泵延长管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CDD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普通型 YV-1A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E4A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8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F38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CE9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522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4F96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D2D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27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一次性使用肛门镜</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FC6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6A3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C8E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BA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471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A5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70BB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B56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4A0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一次性使用心电电极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F53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915T50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523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C62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DE1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FC7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A6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33D9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7A0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01B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A型医用透明敷贴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AE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6cm*7cm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C5D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9D9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346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913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452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A67E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301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26D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一次性口腔器械盒</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59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KQH-2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B97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EEB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D6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B7C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866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EE6C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8D5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34A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呼吸道用吸引导管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C1B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4.67mm(Fr14)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A3E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26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927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C32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D6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C38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160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92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1F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C型7.3mm（22#）（硅橡胶）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110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32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A55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905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356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3D3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C87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1D6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灭菌凡士林纱布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148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5cm*5cm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B37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967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83B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C9E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669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04D4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13B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D0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一次性使用医用三通道旋阀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39F0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E05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B9B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F2D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EBB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DAB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7704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32E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537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一次性使用肝素帽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DCF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GSM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885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357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78B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114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CA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D0D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26F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9B3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医用排便清肠器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191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FE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6C5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94D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F13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945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68F1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AD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91B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纱布绷带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B4E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8cm*6m*5卷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FD5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EF9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4E3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87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19D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FEC3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858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391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外科纱布敷料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F5C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10*20-4P-XR</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13B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6B0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CB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F4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84F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5B94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A80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473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一次性使用吸引管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BAA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9.3mm（F28）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17F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9A9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196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25B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612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CDDE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0CD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EE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备皮刀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A5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双面</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6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把</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001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C1D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4A1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62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0DED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84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687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引流袋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F9B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常用型 1000ml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940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B05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38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177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A3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4C3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6D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E3A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医用外科口罩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4D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绑带式17cm*18cm-3P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789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439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9D9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09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A8B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78F7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881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282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一次性使用鼻氧管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647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头环式双鼻塞 50支/包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708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A76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C7F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6C7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11084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4B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CB9E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38F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B5B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一次性咬口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97F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E9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72C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3C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8EF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4BE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9CEE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33D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68F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一次性咬口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115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F2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11D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59B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B3D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AAC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2DA1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919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AB2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一次性使用埋线针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83D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7E9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A81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822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716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395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65BF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5BA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6A6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医用无菌敷贴（自粘敷料）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DFE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10cm*15cm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74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4C1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503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BA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972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7CBA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E9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E68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凡士林纱布块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984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07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8B0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CB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D6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7AB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005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3E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13A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医用凡士林纱布块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BB0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767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3B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D10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07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A30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16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873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1CE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内窥镜咬口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2F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10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80B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780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64E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979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E3CE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DC0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C26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EC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702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241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F40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586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76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D621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C5D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A8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一次性使用肠道冲洗袋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CED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1000ml（A型）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BCA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CF2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D54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53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5D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231D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081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584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AB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10cm×300cm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A79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B81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636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529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A3A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45E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840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E5F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医用防护口罩（N95）</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C96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N95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193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DFD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F0C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5A8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14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9EE3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66C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7CD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D64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B90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02E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62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208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C4B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DF93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40E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608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梅花针（七星针皮肤针）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19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单头</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F0A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54E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022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FCD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87D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FCBB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DB4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21E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AB4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0.22*1.3mm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6E3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EE1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23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743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9E2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F773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D4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5F6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D53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87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DE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13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433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3C2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15EA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359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44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BE1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690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40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1CF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A8B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FBB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ADC8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DAE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C5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A99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4B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52E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55E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E8C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47A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6C8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4FC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CFA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464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0BF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E44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7AA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7A2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195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89A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6C9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5A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6D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透明型10号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0CD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804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D1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F7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374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1454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CC0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5F1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E87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透明型9号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3E1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04C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21D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0B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826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45BD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6EC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E1A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5AF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透明性8号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9B0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36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27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06A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D6E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E67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C2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A23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96A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透明性11号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B3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8DC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8DA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DA0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EA4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365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47F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13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9C5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8DD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5EF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65A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6D4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A18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469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1AC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756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15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6.0mm 18#（硅橡胶）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4F7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FA6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0E8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36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40F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2B9B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E49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FAF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一次性使用无菌换药包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B37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799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3E2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4F7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98F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051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1124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E5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3C1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一次性使用无菌换药包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E02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HYA-0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E2E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6D3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153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4B2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19440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6E5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0E8A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C71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B41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3C2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A76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BA1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CC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139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209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5A02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501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52C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网纹易撕胶带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846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1527C-0 1.2cm*9.1m、2.4cm*9.1m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B10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341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12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C6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36960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599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04A5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C4F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586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牙胶尖</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D0F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329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79D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E65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4FF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6A8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7499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5F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06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3A6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942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395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5CE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AE4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A36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9620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B3D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8E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F86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33A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19F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150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24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8ED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DB50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5A1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65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一次性使用埋线针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ED9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0.7mm*60mm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D1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5E0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9A0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F7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9AE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5FF2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253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0A2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牙胶尖</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C51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DIA-ISO 0.02 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31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902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318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E6D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01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4BB2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18A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FC6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高频手术电极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9B4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BG-4-S</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FD6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把</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594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80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BC8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24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FF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E8F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457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066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8*20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0B9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ECA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537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B8B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7C2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E95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7FB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6E2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08B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圆1/2 8*20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38D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7BB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277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D57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3B6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4CEB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D34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2A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0A9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7*17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CF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281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30E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632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3D9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7168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42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E6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C9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圆1/2 7*17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58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92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65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2FD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210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501C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677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841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随弃式导电粘胶中性极板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124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JS-C成人双极，JD-C成人单极</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4D6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D3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1DA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2D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F30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4AE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BCD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FC3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随弃式导电粘胶中性极板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6AD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S-E儿童双极,JD-C儿童单极</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352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D03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A8C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EB2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2292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2C4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5035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56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8B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65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BFC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4DC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EED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D0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CC2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99CB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146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DFF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734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A8A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A06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D85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C8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F6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6B7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0FA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78C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B2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8E0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214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E48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A1F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C56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1B78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73C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BD2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一次性使用导尿包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FBF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5.3mm（16Fr)</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02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E4E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084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BDC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4073.4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14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671F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DC9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DC0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一次性使用麻醉用针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ECC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0.7*90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73B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0DD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301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18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862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E38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E0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3E8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21F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10*12cm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B26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9B0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9A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12.24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519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3C6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687F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11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0AC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医用耦合剂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3BB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901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FA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1EC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E4D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D2F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C733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A4B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1C3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医用无菌敷贴（输液贴）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5AB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S-1型（输液贴） 70mm*35mm*100片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A8F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B99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F72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728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4B3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84B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4A3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F24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硅胶潘氏引流管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88F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6.0mm(F18)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07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199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637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64E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070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7AF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8D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9B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90C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124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B50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EA2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06E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960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9D71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C6A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3F5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5CB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39C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23E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F9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46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B2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CD2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5B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F5E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9EA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77C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43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56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E9A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43E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1128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51A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960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79E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B3F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951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B5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C6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50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D1FF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FD3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F8C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6B2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4A4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9BF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660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20B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45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58E8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8CD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F0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9F9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1D6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ADD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824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397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243.6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73A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D8C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12E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A36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3A8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46B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10E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2B1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48D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69D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5CB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6A2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95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47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770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BD2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DE2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471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20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85F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DEB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10C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D59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360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4A9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2C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398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1461.6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C7F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EE85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370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67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B64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32F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B2B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0BF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5D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1461.6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A19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AA2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4AF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5F3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372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F3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EBF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E07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77A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DA0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EFC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4E0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A64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11A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A79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16D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42C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D84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747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2E00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9C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36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咬合纸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6C5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115*22毫米</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24C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42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166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9F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1C6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7218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86D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7D6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2B8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输氧面罩A型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79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72D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0C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62F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1FD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5D71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377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ED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一次性使用气管插管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8DB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B2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59C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0A8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FF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17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959E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E15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D76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一次性使用输氧面罩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9AF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 大号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F1A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F58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7D2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E5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321.3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8C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F7B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0E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37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EE0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 1.5cm*12根/不带针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181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F2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FD6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3A7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89E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6F62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CBC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F31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磁疗贴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317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耳穴专用（Ⅱ型） 120片/盒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1A6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C2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E7E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8A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15378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943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336C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430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FBA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985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塑型桡骨下端固定夹板（成人L号）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0C3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4A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B5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94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5E6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CA6C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F15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29F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219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塑型桡骨下端固定夹板（成人XL号）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621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4F1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A96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943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369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39F9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2FE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FF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26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塑型桡骨下端固定夹板（成人M号）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011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8FC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230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A6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87E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A35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822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491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AD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塑型桡骨下端固定夹板（成人S号）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23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F72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745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5C2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E7F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C91C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AA5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F35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D7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4-0，角针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156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5E2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1FC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01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D99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CC8A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A73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7F0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AE2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2-0，圆针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058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5E8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1EB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40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E79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5CB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929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6F1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77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3-0，圆针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58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CF8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015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6A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4A6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919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8C4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AAB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40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0，圆针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1F1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45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CC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71F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DF3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7F37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9FF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CA3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一次性使用麻醉呼吸管路组件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49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普通标准A型 成人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2A0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59C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034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C33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E90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777F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7E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463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一次性使用麻醉呼吸管路组件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B16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普通标准A型 小儿</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0FD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A4B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84B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535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143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F688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44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436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2E6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前牙A2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A29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B95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0FE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A0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BE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6664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33B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C1B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幻彩光固化复合树脂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C91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后牙 A2 4g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8E6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E43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6B2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E9A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28A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66B0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27A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962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胃肠超声助显剂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857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23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161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8FB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9E5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A16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A34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6CD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1E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DA8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前牙A3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6AD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5B5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73E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450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B26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A50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14E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4F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一次性使用腰硬联合麻醉穿刺套件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4CC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AS-E/S II 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4F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1E7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506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FF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215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3DDF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6BE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7C6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248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后牙色系 P-A3 2.7ml/支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9DD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A8C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F13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7E7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327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FEBA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E49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CCC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透气胶带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568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1.25cm×910cm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08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2F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7D2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102.72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F7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1A2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D96F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C5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73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重组胶原蛋白敷料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48E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椭圆型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745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AD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61B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CD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6B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F9AB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666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D31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重组胶原蛋白修复敷料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9AE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50g G/R型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3E8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A09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7FE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685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96C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FA3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B74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C0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氟保护漆</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C9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3ml/支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38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58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99C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69B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BE2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C6E1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15A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B67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化学换肤术护理包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447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40人份</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1D3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份</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D0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6B8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81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7E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0D8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816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2B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阴道电极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E93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SV2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FA2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345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AEA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EBE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0C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64B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4C9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5F1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直肠电极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7A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SA2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566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44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FD6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108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38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DBD4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FE1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78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医用导电膏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D5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CT10/100g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8E0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2DE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FD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BB1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2E4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A07D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6A5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DA9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光固化正畸粘接剂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9BF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712——035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02F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78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83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831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94F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FEDC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44E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E05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自酸蚀粘接剂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382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BE5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50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135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8DC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A5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6109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BB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D4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一次性使用有创压力传感器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F5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TR-DP1-248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A16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E43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835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82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53F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CB6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860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63D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化学换肤术护理包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7AD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HLB-A型III型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F4C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份</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896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FF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E12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A4C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0337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7C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7C6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一次性使用无菌阴道扩张器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D27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74D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419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AB1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FE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B63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983A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BF6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BFF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一次性使用雾化管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985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2CC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AB1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3BB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B7E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43F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B1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EB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20A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负压引流（吸引）接管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6D3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1500mm、2000mm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E0C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400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CDF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9E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A91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B2A4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031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759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人工呼吸急救苏醒球套组</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0CF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9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BC3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3BC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0DF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EDE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CC23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101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41F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小针刀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DBB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2B7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42F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3F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F0D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40E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FE2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B0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1F2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可吸收外科缝线（胶原蛋白）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68D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 2cm*10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B88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EBF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5EA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A7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29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EA3A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D16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2BE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环球针灸针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C5E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0.5  0.6 0.8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70E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75B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E0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79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B0C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C079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5C5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FA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火针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C48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86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419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F0A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A2C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E7B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AEF1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19E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245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医用聚乙烯醇海绵</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8E7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I型 PVF-J8*2*1.5cm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E8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5B6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3B7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275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6F6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BF1E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FFB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C71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一次性使用埋线针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510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MX-0.8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3F0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21B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A6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A22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02A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45AD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61D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7A8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重组胶原蛋白液体敷料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18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18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79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2CA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497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6B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922A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217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422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70D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01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A3E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CF5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485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AA2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D878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11A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6F8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医用重组胶原蛋白头部护理敷料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19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81F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718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0AA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B5E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8F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F41A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4D9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618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皮肤针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112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6BB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21E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49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ACA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24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8FFA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29D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8B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无针输液接头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A3A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IV恒压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45B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EA4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C51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F4B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75A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1484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BA7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BF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一次性使用高压造影注射器及附件（多通道连接管）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129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D44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548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1F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468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87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4F4D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EEF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384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一次性使用痔疮冷冻治疗栓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385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XJH-ZC-I</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2A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D91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9AD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B44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9F1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917B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4FA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677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F56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10cm*24cm*8层</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E73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D15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F82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80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6DB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1601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DC4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A05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一次性医用脑棉片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83D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5E1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D80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C2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08B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74E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B3C9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533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DE5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一次性医用中单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789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90D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C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3E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086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5DE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6D97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6D2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1D3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理疗电极片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003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DK-03  40MM*40MM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5C3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27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25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CBF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2E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559E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E49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56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B14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21A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CCE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76E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4DB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8C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0334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6AB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862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635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86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F1B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nil"/>
              <w:left w:val="nil"/>
              <w:bottom w:val="nil"/>
              <w:right w:val="nil"/>
            </w:tcBorders>
            <w:shd w:val="clear" w:color="auto" w:fill="auto"/>
            <w:vAlign w:val="center"/>
          </w:tcPr>
          <w:p w14:paraId="476501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D99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862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E4C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951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E97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42A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906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2C8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nil"/>
              <w:left w:val="nil"/>
              <w:bottom w:val="nil"/>
              <w:right w:val="nil"/>
            </w:tcBorders>
            <w:shd w:val="clear" w:color="auto" w:fill="auto"/>
            <w:vAlign w:val="center"/>
          </w:tcPr>
          <w:p w14:paraId="1E9F8A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A92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7F7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1860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61D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EA8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65A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ACE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CB4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nil"/>
              <w:left w:val="nil"/>
              <w:bottom w:val="nil"/>
              <w:right w:val="nil"/>
            </w:tcBorders>
            <w:shd w:val="clear" w:color="auto" w:fill="auto"/>
            <w:vAlign w:val="center"/>
          </w:tcPr>
          <w:p w14:paraId="65C133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C17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CB3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E9C8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D83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B85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7EC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577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D1F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nil"/>
              <w:left w:val="nil"/>
              <w:bottom w:val="nil"/>
              <w:right w:val="nil"/>
            </w:tcBorders>
            <w:shd w:val="clear" w:color="auto" w:fill="auto"/>
            <w:vAlign w:val="center"/>
          </w:tcPr>
          <w:p w14:paraId="4F7E74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C67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83D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5BFA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813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230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991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B16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D3A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nil"/>
              <w:left w:val="nil"/>
              <w:bottom w:val="nil"/>
              <w:right w:val="nil"/>
            </w:tcBorders>
            <w:shd w:val="clear" w:color="auto" w:fill="auto"/>
            <w:vAlign w:val="center"/>
          </w:tcPr>
          <w:p w14:paraId="4872DB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FFF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44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EEE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0F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0D4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一次性使用雾化器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978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咬嘴型 大号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1DC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9B6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1F1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5C2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33696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8DF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835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F6A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A03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一次性使用雾化管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0FB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咬嘴B型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C61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E49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BF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B70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CC3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7DD2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748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8F1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D6B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 R315 90cm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58C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25C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D91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C56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E0F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1F3E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D88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9C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361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9*34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C43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9B5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5F7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F2B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AB0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17F3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EA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CA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48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6*15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DD2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29A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186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5C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88B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128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67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3AD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F50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圆1/2 6*15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78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147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701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C2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AAF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F876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283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CCD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游离牵引钩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D7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10XI</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9F3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AD2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5D2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286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85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FFE5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31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3A5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医用固定带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9F3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肋骨固定带</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93E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8D5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90D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D0D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FC4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1A2E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805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DB5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根管锉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EB0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 #15 25mm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77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板</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40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DB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E7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103.25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86F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F04B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94D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9A0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D0E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小号*200g/包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2E2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ECC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399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CC3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937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057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531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B7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99C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25D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73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E77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FF5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BAF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11A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D5A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DA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牙科石膏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20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1.5公斤</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4DF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FC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395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ABA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E9B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8CF6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E86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C64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47B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超弹型（方形）：SE-R-1925-L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E08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FAA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677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F6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5E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2D73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CC4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B26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3C9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超弹型（方形）：SE-R-1622-U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477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45A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04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EB3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B14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3319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F76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991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45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超弹型（方形）：SE-R-1622-L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EA6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D19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DB2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918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3A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8D41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7F5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ACA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513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超弹型（方形）：SE-R-1722-U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B91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DF8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521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32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F29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E9D7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169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551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B2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超弹型（方形）：SE-R-1722-L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074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34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8CD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E9F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385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9740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8F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599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63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超弹型（方形）：SE-R-1822-L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E5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D3C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A8E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2D2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367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9A12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93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B1A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731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超弹型（方形）：SE-R-1925-U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7D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227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A00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0A1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BDB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188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0A5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4D0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098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超弹型（方形）：SE-R-1825-L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96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079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31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CE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C6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72E6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610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0E7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齿科藻酸盐印模材料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E1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Tropicalgin  453g/包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AEC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113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40C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21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41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6340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B1C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C7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丝线编织非吸收性缝线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3E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 15*60cm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8633">
            <w:pPr>
              <w:jc w:val="center"/>
              <w:rPr>
                <w:rFonts w:hint="eastAsia" w:ascii="宋体" w:hAnsi="宋体" w:eastAsia="宋体" w:cs="宋体"/>
                <w:i w:val="0"/>
                <w:iCs w:val="0"/>
                <w:color w:val="auto"/>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993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3CE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E0F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1B8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E992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41D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94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正畸弹簧</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CF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OS-12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ADC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DD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9BC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E77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BBE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836E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DB4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846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正畸弹性体（正畸弹性橡皮链）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37C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15FT(4.57M)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799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BC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522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381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3B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2E17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16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976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一次性内窥镜保护套 </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114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IRE100T 50元/个 100个</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3FE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E28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C89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2F0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CB5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1674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0A8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882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窝沟封闭剂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13C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D6C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D18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7AB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2BC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D08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3AB5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D1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623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纤维桩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661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CD2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29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DA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6F0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E3D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64FE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93D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7D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一次性使用呼吸回路</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E1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HO-HD1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35E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B2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DF3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585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D88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CD18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80B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348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血压袖带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81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CM1203(通用型）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680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113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ECE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314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799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B25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4A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05C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血氧传感器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E75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成人指套式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32F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0F9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A91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4CD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A89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F64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1F2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FE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一次性使用喉镜片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6AA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TDC-3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9CF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583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89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80D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38C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B02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6BA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31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齿科用根管充填材料（派克斯）2克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002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FBC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D09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2F8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123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FBE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A554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314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488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涡轮手机</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9D2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快速</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C2D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F0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2D3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89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F45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8EF6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4C7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EC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止血海绵</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B18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60mm*20mm*5mm/A型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643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74F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1D6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A49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3F5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7830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8CC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BFC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D6F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EE7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7D6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779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B0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A33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19D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094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304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医用超声耦合剂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60C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BCF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BAB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789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DC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BA7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98C5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98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B88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负压吸引器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D36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 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7B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DFA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7E4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AF8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922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539C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A55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8D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一次性使用精密过滤输液器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CF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JMT-0.2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314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659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24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CF1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188.5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26D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071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8CB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F1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牙胶尖</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9C1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B3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1E3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FD2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FA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92E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7F3A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69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1FD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一次性使用硅橡胶引流球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E8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86E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BBE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C12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991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058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6792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6F8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E65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医用无菌防护套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6AD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长方形200cm*14cm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E50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61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BE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4DF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1A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AF74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15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6F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吸收性明胶海绵</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F4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 型 60mm*20mm*5mm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9B0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4AE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2C5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E5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F6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2ED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CE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593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义齿基托树脂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4A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II型，I类（自凝型，粉和液）</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69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984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78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36E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CE0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4C1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862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D0C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齿科酸蚀剂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D5A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35% 2.5ml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9EB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EDD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3DF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724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E79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48D4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F3A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8D6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医用雾化眼罩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55A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SCWYB-L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EA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27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EB1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F6E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0A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D430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81D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E28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护肤粉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FC1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1970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2E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00A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F9E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141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93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AC4E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A5D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DCD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正畸弹性体（分牙圈）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0E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15条/袋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53D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C02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9A1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9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F54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A840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CB7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657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血压袖带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07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M5124/15-100-0118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0E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0E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8DD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9A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780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425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E40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2E2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一次性使用避光输液器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95C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FD1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6A8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320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D47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988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2AFD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20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6DE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塑料吸管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E8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FCD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37C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BA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085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BC06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3DD7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F32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FE1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非吸收性外科缝线尼龙线（眼科专用）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8AF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N68084D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75(6-0)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DEC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36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5D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280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C93B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15AC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127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3F4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CFA6D">
            <w:pPr>
              <w:jc w:val="center"/>
              <w:rPr>
                <w:rFonts w:hint="eastAsia" w:ascii="宋体" w:hAnsi="宋体" w:eastAsia="宋体" w:cs="宋体"/>
                <w:i w:val="0"/>
                <w:iCs w:val="0"/>
                <w:color w:val="auto"/>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E9D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3FF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60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2C9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95C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DBD0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8B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F0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一次性医用扫床刷</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BF0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76F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5DF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00F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84E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FDF94">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AE9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137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C4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含氯消毒粉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2D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10g/包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E34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C86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4B4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85C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C641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D5A1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D03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C97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一次性无菌医用帽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1F4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38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C04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53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549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466C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B8C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437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C5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网纹易撕胶布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9CB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2cm*9.1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FA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3FF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718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B57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FE78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4A5C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E77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815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一次性医用棉签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B9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12cm*30支*50包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C90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94A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0CC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B1D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2CBA3">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2C23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81D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CEC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脱脂棉球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8C6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0.5g 10粒装/袋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8B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4A2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F56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EE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2C64A">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26CC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457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6C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医用石蜡棉球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90B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12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04B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8E8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977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2893.8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DCE6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3B27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502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8A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B23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42F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502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6B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0D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4C50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B865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5AA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449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一次性使用手术单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806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60*80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CDD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48E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29C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17F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DAD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C003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B58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69A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医用胶带纸胶布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C61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2.5cm*9.1M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BAE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9D1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FCF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CAF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85F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6F25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757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D31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一次性医用棉签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3D4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18cm*200支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D88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5F9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BD8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6.97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8D2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4879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23214">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24F8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79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DD1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75%乙醇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854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65D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105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76D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776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812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051F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B64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8AD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尖底离心管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4AB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10ml/支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4B6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964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78D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017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042E">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0E27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A02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6C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一次性使用手术单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B9D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A型垫单50cm*80cm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121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25E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9B0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AC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B826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DB6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9EB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A10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9E2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697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24A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6BA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9DF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780A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689C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26F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60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一次性使用医用橡胶检查手套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678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276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06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384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5D9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5070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307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36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5B1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一次性使用医用橡胶检查手套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CA8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FBB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CD8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94D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E47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492E4">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0859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31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3F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F55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62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AC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397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1AF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7ECE3">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DC2C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CC2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084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584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FFF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B73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24F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ACB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54CE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FFA6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5DC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7E1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玻璃体温计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39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三角型  棒式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66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96E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69A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55B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722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5EB2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A8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94E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负压引流吸引接管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56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A型2000mm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1F4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934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74B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959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D266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0A08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66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F00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甘油</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F3C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EE4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C40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A31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D7A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40.88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1F7D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7E5E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E5F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BA1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一次性使用医用橡胶检查手套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EE5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6D1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17B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45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7D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EA5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750E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052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DD3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橡胶B超探头探头隔离保护套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91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A型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FFD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8F7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0A0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F3A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416FA">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DD1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55B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F5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医用灭菌包装无纺布（标准型）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92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80*80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B9C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AE9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36C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DA1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6E1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4A92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C61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703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51D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AD4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0D2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EE8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0B3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8D49">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AFFB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A35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CB6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口腔印模金属牙托</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350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大号(L) 1付/袋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367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C9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89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3BE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53A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FBA5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EA8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F1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E4B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D1B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340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F91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72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9A47A">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6EA9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DBE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0D8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6B3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B3E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921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655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772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C59A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EBB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F7E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681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牙科磷酸锌水门汀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7ED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64D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32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4B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86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E1D2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7E28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E4A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9BE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碘伏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B9A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F7A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2B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09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8E8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682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A5D8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17F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ACB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一次性使用手术单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0A1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7CE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6B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E29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583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8335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CD8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9DC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9FC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医用灭菌包装无纺布（标准型）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9FC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100*100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9EA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31C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450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5F3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C6A9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D531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118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0D2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90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B8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3D9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40C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48E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EC6D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34CC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597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A13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B3F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2D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99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466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B35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3742.2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A004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23B3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76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0B0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43D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30E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AF0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26B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807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4001.4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CEB7E">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11E8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5EE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4A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D53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F7C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DF3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57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201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2EA19">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79AF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C9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AE3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一次性使用灭菌橡胶外科手套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557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17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F18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C7B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E93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A8023">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6B34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685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BCF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打样牙托—金属网牙托</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2CB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39B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541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550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7D1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F9664">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3C9D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E1D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69F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口腔印模金属牙托</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252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中号（M) 1付/袋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E1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B60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A2E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AB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29BB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7A8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C2E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B84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模型蜡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13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59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E0F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182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32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4CC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E50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27A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395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335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TC-21EF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41C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B34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2A9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F8B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456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4943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D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1BC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3D3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TC-S21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D8D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33C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697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35C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BA51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5002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12B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3C8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E1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TC-26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FA7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A6A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81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307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5655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8236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365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746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F0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TC-11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AA1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8B2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1D1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5D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C995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29C8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984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7EC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F6F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BR-45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669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176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B89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2CA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1CFA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D66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EC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5AD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E8D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 TC-26 5只*1盒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3CF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E2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002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E2B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FE1A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7DF3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A1A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ECE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可吸收性外科缝线（胶原蛋白）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F26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 2cm×10cm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4C0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BCF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63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63D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364A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8968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CCE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6BE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安尔碘Ⅱ型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E83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74F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173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DFF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24C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B7AE9">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C29E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4EC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ED9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牙科膜片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AA8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Splint 方形127*127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348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FE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2E9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FEE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F41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1153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8C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F6F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一次性使用医用手术薄膜（眼科专用）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B73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140*140（眼科专用）180*140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E18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F4D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A70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532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1D17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7224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D29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45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一次性使用子宫</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造影通水管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F41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433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FE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F0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6B3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605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28FA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6A6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128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75%乙醇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FE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26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889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069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AE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1439.1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DF703">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2FB7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188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D0A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95%乙醇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7EA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958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C56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CD7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B82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1465.95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784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2977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420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954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白凡士林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B3F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962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0C6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AAD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2D4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318.5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FA54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27B1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A6D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AAA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动脉血气生化试剂包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7A8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50人份/盒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3BF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份</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35D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D5B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0CB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CBBA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DD36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DD8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50E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康田正消毒刷</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FBC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MA01 中</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62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343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58C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46.97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594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469.7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7EDB5">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D269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057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49E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一次性使用口腔涂药棒</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573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C50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5A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988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6A8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0650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7F8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F28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627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医用润宝-医用润滑液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53D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无菌液状石腊 20ml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66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D7E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531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F77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7782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CC53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DF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02E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3M灭菌书写指示胶带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E84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1322L  10cm*2cm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1B5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CBC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E68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0DC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223.95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AD9A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4FF0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154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BF5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洗脱液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474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2F1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1ED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699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B28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FF86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1401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933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6F3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过氧化氢热敏打印纸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254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828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71D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641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5BD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7820.4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2AAD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E7D6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319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E1D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过氧化氢热敏打印纸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68B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97E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36E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496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74E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0FC7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7D6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958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158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一次性医用输液瓶口贴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DC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680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C78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E61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0A5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3566.2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EFC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B700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697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5C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含氯消毒片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C82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100片/瓶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3E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530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9AA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E4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833D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A24D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5A6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9E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隔离衣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B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反穿式120*140cm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AD0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92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5F6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8DD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8085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6E2F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BE2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EC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洗脱液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10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D19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22D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48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833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379.8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A523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AC1C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37A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EEB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脉搏血氧饱和度仪</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125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Prince-100A</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1AE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8BA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B4E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E01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170.1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6449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50E2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D5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3B2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新世纪自凝仿生牙托粉3#</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47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46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8AF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604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E5A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AC37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6A2E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84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54D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指夹式脉搏血氧仪</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025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YX301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E4D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F82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481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B33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D6E3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5920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2B2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C35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艾灸盒</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F3C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单孔</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DCF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AD3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027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5F6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9D2B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B455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12D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603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洁芙柔洗手液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71F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873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B1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54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A06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2481.92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EC07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216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A9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111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一次性中心静脉置管穿刺护理包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BA8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B型中心静脉导管维护换药护理型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BE7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3A7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19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9B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274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CBF1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B5C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697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一次性使用无菌手术膜B型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87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B型C4545EN45cm*45cm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2BD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61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8A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584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E63E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FC73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DE7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C0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听诊器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F01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插入式二用（A）型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18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8FB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EF0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D22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0385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FAC7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E9E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124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消博士医用擦手纸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6E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200抽/包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FA2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5CE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BB7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8BB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C34A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FBBE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259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5A0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医用折叠擦手纸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75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230*225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BD4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4A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04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BE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4661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EB40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9FC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1A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G-1型消毒剂浓度试纸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98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20本/盒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058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本</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219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AD5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309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46EC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EFC4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73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B45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十二导心电图记录纸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6F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210mm*140mm-20m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C9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本</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33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CE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27B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8064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087B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A23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51A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二氧化碳吸附剂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31D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9CC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FA1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40A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C53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56C6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8FC8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4F2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32C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紫外线杀菌灯</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3CF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ZW30S19W-Z894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36C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921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49A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89C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DF2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0259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35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C9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CP</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EF3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4D5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27E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912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E78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D28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6728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C7F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B35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朗力牌（I）抑菌液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6B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DEF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AEE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E77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B6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565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43E6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ED3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C70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医用凡士林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35E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D3F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B1E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4C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2BF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DC98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0EFF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84A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262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暂时填充材料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C02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1D2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74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B0E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206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BF5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7F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EC8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1BB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166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3DC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E70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D5E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7C0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1079.52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9C4F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9C2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55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451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B0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02B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14F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87E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4A0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309F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D4F2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91D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806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B6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7E0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E17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3F7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A36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9519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78DE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254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5B9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AF1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A01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37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A50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DE6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A7C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A7CD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0A1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124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带囊气管插管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C61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5B9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FD1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6CD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B63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D4A6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F276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156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F3B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荧光素钠眼科检测试纸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74C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1条/袋10袋/盒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352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FE9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36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1E8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DDC9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69C2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6C6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5B9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自粘型医用弹力绷带卷</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20C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7.5*450cm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37E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C1E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33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660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484F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721D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C1B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C8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132℃压力蒸汽化学指示卡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41A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IY1321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D93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B72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8A6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0D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0C41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46BC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5F9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5F6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新华牌132℃压力蒸汽灭菌化学指示卡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131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IY1321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A1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D81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75D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D05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D103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A17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1E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2AB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弹性体印膜材料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E6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3型（轻体</w:t>
            </w:r>
            <w:r>
              <w:rPr>
                <w:rFonts w:hint="eastAsia" w:ascii="宋体" w:hAnsi="宋体" w:cs="宋体"/>
                <w:i w:val="0"/>
                <w:iCs w:val="0"/>
                <w:color w:val="auto"/>
                <w:kern w:val="0"/>
                <w:sz w:val="24"/>
                <w:szCs w:val="24"/>
                <w:u w:val="none"/>
                <w:lang w:val="en-US" w:eastAsia="zh-CN" w:bidi="ar"/>
              </w:rPr>
              <w:t>三次</w:t>
            </w:r>
            <w:r>
              <w:rPr>
                <w:rFonts w:hint="eastAsia" w:ascii="宋体" w:hAnsi="宋体" w:eastAsia="宋体" w:cs="宋体"/>
                <w:i w:val="0"/>
                <w:iCs w:val="0"/>
                <w:color w:val="auto"/>
                <w:kern w:val="0"/>
                <w:sz w:val="24"/>
                <w:szCs w:val="24"/>
                <w:u w:val="none"/>
                <w:lang w:val="en-US" w:eastAsia="zh-CN" w:bidi="ar"/>
              </w:rPr>
              <w:t>印膜）50ml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E6E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E9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713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19.87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52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DD0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9F51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75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FE4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齿科超硬模型石膏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2D3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1000g/袋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8A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0FD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7D3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33C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558C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E4C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7C1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AF1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透明一件式造口袋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1B3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15541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35A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FDD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EF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15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D116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EB0D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0A9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F02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一次性使用精细药液过滤器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4FE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WEO-D-P-32-3.0/01IV</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E6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8A2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C85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248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4A37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6329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8F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B59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一次性聚乙烯薄膜手套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45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中码*700只*1盒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67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BF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BC3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2F0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4779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E3EF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C9ED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342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A17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一次性成像冲洗液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932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101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1CF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CC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CDF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6F76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1034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906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99D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塑封袋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CC8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7号（200个/包）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003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836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2CD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CC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215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43E8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4FF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A3C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塑封袋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53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9.5号（200个/包）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F9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6E1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376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CC3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9C9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3029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C0F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538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十二导心电图记录纸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ED9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210mm*295mm-200P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238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本</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ACC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EA4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F5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63E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38A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BCE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340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一次性隔离膜</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422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6C4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65D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57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603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DD43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99B8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162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534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一次性无菌三腔气囊导尿管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FDB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DD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1D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D0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BD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C026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161D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95F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8B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一次性无菌三腔气囊导尿管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9A6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236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45C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8A7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3DD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CDAF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5CCB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58D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F00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医用器械除锈剂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B05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ED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93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7D5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6F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F894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3876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200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2F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医用器械润滑油</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269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17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AC5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287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595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0B10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93A2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631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776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洁芙柔免洗手消毒凝胶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E79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4A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48A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ABC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138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4DB0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886C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14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3B0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脱脂棉球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F7C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EC2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C73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5EA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294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B7A3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E09B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8E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38C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伽玛卫生湿巾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875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20cm*14cm*150片/包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A3F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503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BC1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B1B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5802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102A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615B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E9C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42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新华牌压力蒸汽灭菌1小时极速生物指示剂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B57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B1323 50支*1盒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B67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95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8F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80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197.4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E5EF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D84D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14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5F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新华牌压力蒸汽灭菌效果监测快速生物指示剂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1F5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B1322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68C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A42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0BD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6E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93BD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2F03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12D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D48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压力蒸汽灭菌1小时极速生物指示剂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54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B1323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E83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5EE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67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18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0A13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8F52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D4F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08C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牙挺</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17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14B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335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856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43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0E1A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2894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11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107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C74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E62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94C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3AE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AC7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D657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400D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E72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74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新华牌B-D预警测试包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D45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BY1344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72E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F4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29E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38.94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A00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9345.6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D46B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11BA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64E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EAC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蒸汽灭菌1322指示胶带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ACF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1322-240.94 24mm*55mm0.94in*60yd</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576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FF9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A44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FAE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1364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5F29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07D4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FA2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F28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3M医用肉肤色纸胶带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1D2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5cm*5M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7CF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2CF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D04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470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8E9B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4DC4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0EF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425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一次性使用精细药液过滤器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30D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WEO-D-P-43-3.0/01IV</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BFB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58B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4E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76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4822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0D98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EA7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565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多酶清洗液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9A4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600ml/瓶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D96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C34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31D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4A9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04A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B4B0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12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91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过氧化氢热敏打印纸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91D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EC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E7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D9C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07D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C15A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2C7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CE1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8D8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47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5F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52A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D6E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F08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90C5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96DE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F20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CB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压力蒸汽灭菌化学测试包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F5B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PD1321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083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5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398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A9A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F48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6A6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68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174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电解质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F58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1000g/袋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9E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E6C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0BA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17E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2C26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DC8F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8DD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F99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一次性医用防护服</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818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175/180/185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3FD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5F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EDC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DBC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CAE2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1523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6AE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52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中医坐浴器熏洗盆</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CB2D">
            <w:pPr>
              <w:jc w:val="center"/>
              <w:rPr>
                <w:rFonts w:hint="eastAsia" w:ascii="宋体" w:hAnsi="宋体" w:eastAsia="宋体" w:cs="宋体"/>
                <w:i w:val="0"/>
                <w:iCs w:val="0"/>
                <w:color w:val="auto"/>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286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B4E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ED0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DEA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226A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85F6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851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12F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消博士卫生湿巾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416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80片/包（含季铵盐）</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F90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EB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4B9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922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7064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8BF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2AD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0C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77A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CFB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B79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55D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634.84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870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1269.68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7449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9F1A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D8B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B66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牙科X线胶片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FD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30mm*40mm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62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30C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0DB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49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A952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DE39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4F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22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消博士免洗手消毒凝胶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9AE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F8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E11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A02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25A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BBA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153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F41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FCB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正畸橡皮链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26B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中距</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133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圈</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D8E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978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DA0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C22D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E36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37F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A62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血压计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8D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8D1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101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3D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E0D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A90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A1B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34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B7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白石膏粉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E5D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20公斤</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B9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55A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0D1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6E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394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81B8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475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7ED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预成型不锈钢正畸方丝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B9C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0.28*0.25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FB0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E4C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8D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C87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13F1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9692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EF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549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朗力慢失TM消毒凝胶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AC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86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22B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CB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215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D8D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BCBF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02A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691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无砷失活剂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92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C56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153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C8D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AA6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94F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BC04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2F9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CF3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正畸橡皮筋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D04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4分之1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085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6A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954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4A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C62E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D15F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114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C54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正畸橡皮筋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F6C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16分之5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066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604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E2C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300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BB52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1A1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39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CF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紫外线强度指示卡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07C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144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30E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6B9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5A4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567.6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85A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52F2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1F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436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3FB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35D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586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E5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98C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F38F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889F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A1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63B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过氧化氢低温等离子体灭菌过程指示胶带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172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TB2035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450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8C5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FAA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E33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546.36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91AA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EA1D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20F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8D5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过氧化氢低温等离子体灭菌过程指示卡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F29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IB0503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EA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00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732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66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A232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CD9A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4A3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942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21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IB0503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E4A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5AE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657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AE5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3613.5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F5D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8E94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D1A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1F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DD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4F0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319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29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48.47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898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96.94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043F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4FF5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87C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B4F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过氧化氢低温等离子体灭菌1小时极速生物指示剂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0B1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B5002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E94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23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66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588.16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86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17644.8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AC75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540B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996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36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II型过氧化氢低温等离子体灭菌过程指示标签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8FB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900片/袋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764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13E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963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2B3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523F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2736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8A9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880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光滑髓针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49B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98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E40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769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A2C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F5C4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1C24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0C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909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透明二件式造口袋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7D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15541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8E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E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A8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E21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4E74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118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7CF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38F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光固化氢氧化钙间接盖髓剂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52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1307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5D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F4E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1BD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88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17DF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D443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39D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E78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再生剂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ED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5kg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370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5kg/袋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98F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2C0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23.69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557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1184.5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2F77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B20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605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0B4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正畸弹力线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A65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25FT(6.5m)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EF6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E3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3D3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740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3DAD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DAD7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0E6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156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医疗器械中性多酶清洗剂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C8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429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68F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F9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303.45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D16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3034.5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9322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EE28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C97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42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病人监护仪血压监测袖带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2D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06E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5CC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1A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C94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62B8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6790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860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444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输液港蝶翼针 无损伤蝶形针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F5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0444833220G（0.9mm)*15mm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A70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114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BF7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FD6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AAD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CC59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DC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E55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非吸收性外科缝线尼龙线（眼科专用）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4B8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NA8063D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5AC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426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CC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06D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CB14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C11B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FB7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501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非接触式红外体温计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348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JXB-178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72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B44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12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D8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2383.5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74CE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D957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51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B89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58E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633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3FC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4B3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762.26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843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1524.52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BECF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435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ABE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E1D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过氧化氢低温等离子体灭菌器100过氧化氢卡匣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4C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HC1001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1EF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5EF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F88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259.33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7A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6483.25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48B9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96C8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918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9FB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合成树脂牙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4D5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L/A419 U25,30K0, 20KU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74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E07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B73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444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01BA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177D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D89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138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体表理疗电极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03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SK5OWF-Y1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4DC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4E3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2C7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A60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05D8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DEC7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17E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3A8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紫外线灯车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B27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SX型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C88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D0D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3C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62F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36AF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2E15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2C9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2F1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AAD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F93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0E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C6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513.17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6D6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2565.85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8F29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71C2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171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E63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肛瘘探针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20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18cm双头球2.5/环银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632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8F6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FB2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D8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91E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98F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8C8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4A3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封口测试纸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594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STEAM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483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72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8A5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2E8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CB49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164A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2D5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414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封口测试纸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18A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VH202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829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2D4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AE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5A2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0E88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074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E34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F9A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造口袋瘘口防漏膏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EB0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Brava12050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FB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203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9F5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A0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165F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A86A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54E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417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快速高效多酶洗剂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906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1L/桶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36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8B9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289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B7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729F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B1B1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F9D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ED6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动脉血气分析质控液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AAF79">
            <w:pPr>
              <w:jc w:val="center"/>
              <w:rPr>
                <w:rFonts w:hint="eastAsia" w:ascii="宋体" w:hAnsi="宋体" w:eastAsia="宋体" w:cs="宋体"/>
                <w:i w:val="0"/>
                <w:iCs w:val="0"/>
                <w:color w:val="auto"/>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F92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226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EC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BF5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098E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83FB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573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4C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电子血压计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A57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HEM-6121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ABC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B0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DD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EF4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5C0A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2459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21B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E3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22D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B2F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AD2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18A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828.26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98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4969.56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17B6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2C98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07D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5C2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446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D86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0AF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44B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574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E1D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8FB1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49E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ACC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成人AG采样管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A6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MASIMO</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90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1CE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A2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448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E11C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0DF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795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DE0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而至富士I 玻璃离子水门汀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3C9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浅黄色</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DE6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5FB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0D4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5F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C3B4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7317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FD5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6CF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而至富士IX 玻璃离子水门汀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AA8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浅黄色</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8A2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DBB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1D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EDE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DDE9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49D3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6A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84C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主流气道适配器成人</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E4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REF:6063-00单病人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A2E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862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189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782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24C7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6D81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F8C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91D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医用超声雾化器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EEF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402AI</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84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38F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49D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768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3E1A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964E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4AE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1F5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过氧乙酸消毒液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C1C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D60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4AB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CCD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288.11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A97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8643.3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B66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4B2E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BA9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CA4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电子血压计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E4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HEM-7130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5DF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281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2D2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B7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291A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655D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07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D4C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内镜专用多酶清洗剂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D2D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E3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F41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D00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C66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1FDA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74D2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EA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256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病人监护仪血氧饱和度监测导联线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748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EC1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3B3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293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F52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A97B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6AC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5F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58D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美佳印弹性体印模材料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BA1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 型250ml*2  3型 50ml*1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667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D79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2A7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BB0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8D06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30F7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F71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FF3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润滑防锈剂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D2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D13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F21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4A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13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2104.44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58A3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D2D3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5C8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69E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经外周中心静脉导管PICC-耐高压型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95E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长度≧50cm 单腔</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360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D3D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54D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431.9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0CD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4319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D940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DAE1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2C3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7A9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病人监护仪心电导联线（5导联）</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4E5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FD3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B28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22A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4A5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5153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54F0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8B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53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普特5代自锁直丝弓托槽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545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自锁托槽系列 B类自锁MBT托槽</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ACB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BA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728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69C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E9AA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36A6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460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8D1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动脉血气分析试剂卡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36A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25人份/盒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451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2CF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63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B88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BB64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3D24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98F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387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医用棉签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E73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1D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72F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4B0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1B7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080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7E44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06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F1D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竹压舌板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10B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142*16*1.6mm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28E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E91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210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81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16FB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9C5B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C79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F39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一次性使用脚套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0D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100只/袋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CCF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151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63A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11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7A4B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FF36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CC8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A21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一次性使用医疗卫生用品（手术帽）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54B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525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BEC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9B4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32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A9CE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757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08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39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一次性医用防护服</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10B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175、180、185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602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803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C3C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A4E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766.6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BA6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38E6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AFC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5F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一次性使用医疗卫生用品（手术衣）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C9C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 120*130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178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B80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DAB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CA5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1C3B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1B78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FE6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97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电子输注泵YD-B-3（药袋）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514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0C9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E2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13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9EB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78AB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67AE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03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D85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电子输注泵YD-B-3（电驱动控制器）（泵头）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D2F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4A5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2CA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84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3B4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FD7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8809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4C3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282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电子输注泵YD-B-3（电驱动控制器）（泵头）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876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YG-B-3（275ml）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4C7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BD2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802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F29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3CED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0850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A7C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50C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电子输注泵YD-B-3（药袋）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234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YG-B-3（275ml）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9B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F03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E9B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103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FFC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297F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74E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AB2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测氯试条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104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4米/卷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39B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F01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9BF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2C8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F0AA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CA20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ACE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EAA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7DA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2FF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CAC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BC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5C8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1A5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14B4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90D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5E6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导联线三导联</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1F51">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617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4F7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57B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66D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B22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2508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60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6E7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血氧探头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FF18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8C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584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0F7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6B0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E4C0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1261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6D1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B8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电池</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8DDD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D0B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3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181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775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D4A8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75D9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27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935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121℃压力蒸汽灭菌化学指示卡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0EB05">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EB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7AD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58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DD3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7DD4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bl>
    <w:p w14:paraId="3187D97E">
      <w:pPr>
        <w:rPr>
          <w:rFonts w:hint="default" w:ascii="宋体" w:hAnsi="宋体" w:cs="宋体"/>
          <w:color w:val="auto"/>
          <w:sz w:val="24"/>
          <w:szCs w:val="24"/>
          <w:highlight w:val="none"/>
          <w:u w:val="none"/>
          <w:lang w:val="en-US" w:eastAsia="zh-CN"/>
        </w:rPr>
      </w:pPr>
    </w:p>
    <w:p w14:paraId="08A78E89">
      <w:pPr>
        <w:rPr>
          <w:rFonts w:hint="eastAsia" w:ascii="宋体" w:hAnsi="宋体" w:cs="宋体"/>
          <w:color w:val="auto"/>
          <w:highlight w:val="none"/>
        </w:rPr>
      </w:pPr>
      <w:r>
        <w:rPr>
          <w:rFonts w:hint="eastAsia" w:ascii="宋体" w:hAnsi="宋体" w:cs="宋体"/>
          <w:color w:val="auto"/>
          <w:highlight w:val="none"/>
        </w:rPr>
        <w:br w:type="page"/>
      </w:r>
    </w:p>
    <w:p w14:paraId="08EA3624">
      <w:pPr>
        <w:pStyle w:val="2"/>
        <w:spacing w:before="0" w:after="0" w:line="360" w:lineRule="auto"/>
        <w:jc w:val="center"/>
        <w:rPr>
          <w:rFonts w:hint="eastAsia" w:ascii="宋体" w:hAnsi="宋体" w:cs="宋体"/>
          <w:color w:val="auto"/>
          <w:highlight w:val="none"/>
        </w:rPr>
      </w:pPr>
      <w:bookmarkStart w:id="54" w:name="_Toc12858"/>
      <w:r>
        <w:rPr>
          <w:rFonts w:hint="eastAsia" w:ascii="宋体" w:hAnsi="宋体" w:cs="宋体"/>
          <w:color w:val="auto"/>
          <w:highlight w:val="none"/>
        </w:rPr>
        <w:t>第二章 投标人须知</w:t>
      </w:r>
      <w:bookmarkEnd w:id="54"/>
    </w:p>
    <w:p w14:paraId="70837470">
      <w:pPr>
        <w:rPr>
          <w:rFonts w:hint="eastAsia" w:ascii="宋体" w:hAnsi="宋体" w:cs="宋体"/>
          <w:color w:val="auto"/>
          <w:highlight w:val="none"/>
        </w:rPr>
      </w:pPr>
    </w:p>
    <w:bookmarkEnd w:id="53"/>
    <w:p w14:paraId="51053344">
      <w:pPr>
        <w:pStyle w:val="3"/>
        <w:spacing w:before="0" w:after="0" w:line="360" w:lineRule="auto"/>
        <w:jc w:val="center"/>
        <w:rPr>
          <w:rFonts w:hint="eastAsia" w:ascii="宋体" w:hAnsi="宋体" w:eastAsia="宋体" w:cs="宋体"/>
          <w:color w:val="auto"/>
          <w:sz w:val="32"/>
          <w:szCs w:val="32"/>
          <w:highlight w:val="none"/>
        </w:rPr>
      </w:pPr>
      <w:bookmarkStart w:id="55" w:name="_Toc21714"/>
      <w:bookmarkEnd w:id="55"/>
      <w:bookmarkStart w:id="56" w:name="_Toc13590"/>
      <w:bookmarkEnd w:id="56"/>
      <w:bookmarkStart w:id="57" w:name="_Toc26144"/>
      <w:bookmarkStart w:id="58" w:name="_Toc29432"/>
      <w:r>
        <w:rPr>
          <w:rFonts w:hint="eastAsia" w:ascii="宋体" w:hAnsi="宋体" w:eastAsia="宋体" w:cs="宋体"/>
          <w:color w:val="auto"/>
          <w:sz w:val="32"/>
          <w:szCs w:val="32"/>
          <w:highlight w:val="none"/>
        </w:rPr>
        <w:t>投标人须知前附表</w:t>
      </w:r>
      <w:bookmarkEnd w:id="57"/>
      <w:bookmarkEnd w:id="58"/>
    </w:p>
    <w:p w14:paraId="10E5C083">
      <w:pPr>
        <w:spacing w:line="200" w:lineRule="exact"/>
        <w:rPr>
          <w:rFonts w:hint="eastAsia" w:ascii="宋体" w:hAnsi="宋体" w:cs="宋体"/>
          <w:color w:val="auto"/>
          <w:highlight w:val="none"/>
        </w:rPr>
      </w:pPr>
      <w:r>
        <w:rPr>
          <w:rFonts w:hint="eastAsia" w:ascii="宋体" w:hAnsi="宋体" w:cs="宋体"/>
          <w:color w:val="auto"/>
          <w:highlight w:val="none"/>
        </w:rPr>
        <w:t xml:space="preserve"> </w:t>
      </w:r>
    </w:p>
    <w:tbl>
      <w:tblPr>
        <w:tblStyle w:val="33"/>
        <w:tblW w:w="9882" w:type="dxa"/>
        <w:jc w:val="center"/>
        <w:tblLayout w:type="fixed"/>
        <w:tblCellMar>
          <w:top w:w="0" w:type="dxa"/>
          <w:left w:w="0" w:type="dxa"/>
          <w:bottom w:w="0" w:type="dxa"/>
          <w:right w:w="0" w:type="dxa"/>
        </w:tblCellMar>
      </w:tblPr>
      <w:tblGrid>
        <w:gridCol w:w="1059"/>
        <w:gridCol w:w="2024"/>
        <w:gridCol w:w="6799"/>
      </w:tblGrid>
      <w:tr w14:paraId="29F0D9FD">
        <w:trPr>
          <w:trHeight w:val="390" w:hRule="atLeast"/>
          <w:tblHeader/>
          <w:jc w:val="center"/>
        </w:trPr>
        <w:tc>
          <w:tcPr>
            <w:tcW w:w="1059" w:type="dxa"/>
            <w:tcBorders>
              <w:top w:val="single" w:color="auto" w:sz="8" w:space="0"/>
              <w:left w:val="single" w:color="auto" w:sz="8" w:space="0"/>
              <w:bottom w:val="single" w:color="auto" w:sz="8" w:space="0"/>
              <w:right w:val="single" w:color="auto" w:sz="8" w:space="0"/>
            </w:tcBorders>
            <w:vAlign w:val="center"/>
          </w:tcPr>
          <w:p w14:paraId="31534638">
            <w:pPr>
              <w:keepNext w:val="0"/>
              <w:keepLines w:val="0"/>
              <w:pageBreakBefore w:val="0"/>
              <w:kinsoku/>
              <w:wordWrap/>
              <w:overflowPunct/>
              <w:bidi w:val="0"/>
              <w:adjustRightInd/>
              <w:snapToGrid/>
              <w:spacing w:line="400" w:lineRule="exact"/>
              <w:jc w:val="center"/>
              <w:textAlignment w:val="auto"/>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条款号</w:t>
            </w:r>
          </w:p>
        </w:tc>
        <w:tc>
          <w:tcPr>
            <w:tcW w:w="2024" w:type="dxa"/>
            <w:tcBorders>
              <w:top w:val="single" w:color="auto" w:sz="8" w:space="0"/>
              <w:left w:val="nil"/>
              <w:bottom w:val="single" w:color="auto" w:sz="8" w:space="0"/>
              <w:right w:val="single" w:color="auto" w:sz="8" w:space="0"/>
            </w:tcBorders>
            <w:vAlign w:val="bottom"/>
          </w:tcPr>
          <w:p w14:paraId="0341FF1C">
            <w:pPr>
              <w:keepNext w:val="0"/>
              <w:keepLines w:val="0"/>
              <w:pageBreakBefore w:val="0"/>
              <w:kinsoku/>
              <w:wordWrap/>
              <w:overflowPunct/>
              <w:bidi w:val="0"/>
              <w:adjustRightInd/>
              <w:snapToGrid/>
              <w:spacing w:line="400" w:lineRule="exact"/>
              <w:jc w:val="center"/>
              <w:textAlignment w:val="auto"/>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条 款 名 称</w:t>
            </w:r>
          </w:p>
        </w:tc>
        <w:tc>
          <w:tcPr>
            <w:tcW w:w="6799" w:type="dxa"/>
            <w:tcBorders>
              <w:top w:val="single" w:color="auto" w:sz="8" w:space="0"/>
              <w:left w:val="nil"/>
              <w:bottom w:val="single" w:color="auto" w:sz="8" w:space="0"/>
              <w:right w:val="single" w:color="auto" w:sz="8" w:space="0"/>
            </w:tcBorders>
            <w:vAlign w:val="bottom"/>
          </w:tcPr>
          <w:p w14:paraId="23C3E0C4">
            <w:pPr>
              <w:keepNext w:val="0"/>
              <w:keepLines w:val="0"/>
              <w:pageBreakBefore w:val="0"/>
              <w:kinsoku/>
              <w:wordWrap/>
              <w:overflowPunct/>
              <w:bidi w:val="0"/>
              <w:adjustRightInd/>
              <w:snapToGrid/>
              <w:spacing w:line="400" w:lineRule="exact"/>
              <w:ind w:left="1680"/>
              <w:textAlignment w:val="auto"/>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编 列 内 容</w:t>
            </w:r>
          </w:p>
        </w:tc>
      </w:tr>
      <w:tr w14:paraId="1615CB2B">
        <w:tblPrEx>
          <w:tblCellMar>
            <w:top w:w="0" w:type="dxa"/>
            <w:left w:w="0" w:type="dxa"/>
            <w:bottom w:w="0" w:type="dxa"/>
            <w:right w:w="0" w:type="dxa"/>
          </w:tblCellMar>
        </w:tblPrEx>
        <w:trPr>
          <w:trHeight w:val="493"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558748CA">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1.1.2</w:t>
            </w:r>
          </w:p>
        </w:tc>
        <w:tc>
          <w:tcPr>
            <w:tcW w:w="2024" w:type="dxa"/>
            <w:tcBorders>
              <w:top w:val="single" w:color="auto" w:sz="8" w:space="0"/>
              <w:left w:val="nil"/>
              <w:bottom w:val="single" w:color="auto" w:sz="8" w:space="0"/>
              <w:right w:val="single" w:color="auto" w:sz="8" w:space="0"/>
            </w:tcBorders>
            <w:vAlign w:val="center"/>
          </w:tcPr>
          <w:p w14:paraId="600F4773">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olor w:val="auto"/>
                <w:kern w:val="2"/>
                <w:sz w:val="24"/>
                <w:szCs w:val="24"/>
                <w:highlight w:val="none"/>
              </w:rPr>
              <w:t>采购人</w:t>
            </w:r>
          </w:p>
        </w:tc>
        <w:tc>
          <w:tcPr>
            <w:tcW w:w="6799" w:type="dxa"/>
            <w:tcBorders>
              <w:top w:val="single" w:color="auto" w:sz="8" w:space="0"/>
              <w:left w:val="nil"/>
              <w:bottom w:val="single" w:color="auto" w:sz="8" w:space="0"/>
              <w:right w:val="single" w:color="auto" w:sz="8" w:space="0"/>
            </w:tcBorders>
            <w:vAlign w:val="center"/>
          </w:tcPr>
          <w:p w14:paraId="45EE4DF9">
            <w:pPr>
              <w:keepNext w:val="0"/>
              <w:keepLines w:val="0"/>
              <w:pageBreakBefore w:val="0"/>
              <w:kinsoku/>
              <w:wordWrap/>
              <w:overflowPunct/>
              <w:bidi w:val="0"/>
              <w:adjustRightInd/>
              <w:snapToGrid/>
              <w:spacing w:line="400" w:lineRule="exact"/>
              <w:textAlignment w:val="auto"/>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rPr>
              <w:t>名    称：</w:t>
            </w:r>
            <w:r>
              <w:rPr>
                <w:rFonts w:hint="eastAsia" w:ascii="宋体" w:hAnsi="宋体" w:cs="宋体"/>
                <w:color w:val="auto"/>
                <w:kern w:val="2"/>
                <w:sz w:val="24"/>
                <w:szCs w:val="24"/>
                <w:highlight w:val="none"/>
                <w:lang w:eastAsia="zh-CN"/>
              </w:rPr>
              <w:t>怒江傈僳族自治州中医医院</w:t>
            </w:r>
          </w:p>
          <w:p w14:paraId="55E036DF">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地    址：怒江州泸水市大练地街道办怒江傈僳族自治州中医医院</w:t>
            </w:r>
          </w:p>
          <w:p w14:paraId="53374FCF">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联系方式：龙彬、郝雨(0886)3051880</w:t>
            </w:r>
          </w:p>
        </w:tc>
      </w:tr>
      <w:tr w14:paraId="73D4F4BE">
        <w:tblPrEx>
          <w:tblCellMar>
            <w:top w:w="0" w:type="dxa"/>
            <w:left w:w="0" w:type="dxa"/>
            <w:bottom w:w="0" w:type="dxa"/>
            <w:right w:w="0" w:type="dxa"/>
          </w:tblCellMar>
        </w:tblPrEx>
        <w:trPr>
          <w:trHeight w:val="544"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3FC23BCC">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1.1.3</w:t>
            </w:r>
          </w:p>
        </w:tc>
        <w:tc>
          <w:tcPr>
            <w:tcW w:w="2024" w:type="dxa"/>
            <w:tcBorders>
              <w:top w:val="single" w:color="auto" w:sz="8" w:space="0"/>
              <w:left w:val="nil"/>
              <w:bottom w:val="single" w:color="auto" w:sz="8" w:space="0"/>
              <w:right w:val="single" w:color="auto" w:sz="8" w:space="0"/>
            </w:tcBorders>
            <w:vAlign w:val="center"/>
          </w:tcPr>
          <w:p w14:paraId="5F49F77C">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olor w:val="auto"/>
                <w:kern w:val="2"/>
                <w:sz w:val="24"/>
                <w:szCs w:val="24"/>
                <w:highlight w:val="none"/>
              </w:rPr>
              <w:t>采购代理机构</w:t>
            </w:r>
          </w:p>
        </w:tc>
        <w:tc>
          <w:tcPr>
            <w:tcW w:w="6799" w:type="dxa"/>
            <w:tcBorders>
              <w:top w:val="single" w:color="auto" w:sz="8" w:space="0"/>
              <w:left w:val="nil"/>
              <w:bottom w:val="single" w:color="auto" w:sz="8" w:space="0"/>
              <w:right w:val="single" w:color="auto" w:sz="8" w:space="0"/>
            </w:tcBorders>
            <w:vAlign w:val="center"/>
          </w:tcPr>
          <w:p w14:paraId="5D6A172B">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名    称：云南元大工程咨询有限责任公司</w:t>
            </w:r>
          </w:p>
          <w:p w14:paraId="03C56A0A">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地    址：云南省昆明市盘龙区联盟路与万宏路交汇处万宏嘉园沣苑（地块三）B座15楼（奥斯迪商务中心B座15楼）</w:t>
            </w:r>
          </w:p>
          <w:p w14:paraId="726C2A72">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联系方式：</w:t>
            </w:r>
            <w:r>
              <w:rPr>
                <w:rFonts w:hint="eastAsia" w:ascii="宋体" w:hAnsi="宋体" w:cs="宋体"/>
                <w:color w:val="auto"/>
                <w:kern w:val="2"/>
                <w:sz w:val="24"/>
                <w:szCs w:val="24"/>
                <w:highlight w:val="none"/>
                <w:u w:val="none"/>
                <w:lang w:bidi="ar"/>
              </w:rPr>
              <w:t>段广超、陶泽强、毛冬慧、闫梅</w:t>
            </w:r>
            <w:r>
              <w:rPr>
                <w:rFonts w:hint="eastAsia" w:ascii="宋体" w:hAnsi="宋体" w:cs="宋体"/>
                <w:color w:val="auto"/>
                <w:kern w:val="2"/>
                <w:sz w:val="24"/>
                <w:szCs w:val="24"/>
                <w:highlight w:val="none"/>
              </w:rPr>
              <w:t>0871-63335856</w:t>
            </w:r>
          </w:p>
        </w:tc>
      </w:tr>
      <w:tr w14:paraId="5FE3B0BE">
        <w:tblPrEx>
          <w:tblCellMar>
            <w:top w:w="0" w:type="dxa"/>
            <w:left w:w="0" w:type="dxa"/>
            <w:bottom w:w="0" w:type="dxa"/>
            <w:right w:w="0" w:type="dxa"/>
          </w:tblCellMar>
        </w:tblPrEx>
        <w:trPr>
          <w:trHeight w:val="482"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42B439DA">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1.1.4</w:t>
            </w:r>
          </w:p>
        </w:tc>
        <w:tc>
          <w:tcPr>
            <w:tcW w:w="2024" w:type="dxa"/>
            <w:tcBorders>
              <w:top w:val="single" w:color="auto" w:sz="8" w:space="0"/>
              <w:left w:val="nil"/>
              <w:bottom w:val="single" w:color="auto" w:sz="8" w:space="0"/>
              <w:right w:val="single" w:color="auto" w:sz="8" w:space="0"/>
            </w:tcBorders>
            <w:vAlign w:val="center"/>
          </w:tcPr>
          <w:p w14:paraId="21F2D090">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olor w:val="auto"/>
                <w:kern w:val="2"/>
                <w:sz w:val="24"/>
                <w:szCs w:val="24"/>
                <w:highlight w:val="none"/>
              </w:rPr>
              <w:t>项目名称</w:t>
            </w:r>
          </w:p>
        </w:tc>
        <w:tc>
          <w:tcPr>
            <w:tcW w:w="6799" w:type="dxa"/>
            <w:tcBorders>
              <w:top w:val="single" w:color="auto" w:sz="8" w:space="0"/>
              <w:left w:val="nil"/>
              <w:bottom w:val="single" w:color="auto" w:sz="8" w:space="0"/>
              <w:right w:val="single" w:color="auto" w:sz="8" w:space="0"/>
            </w:tcBorders>
            <w:vAlign w:val="center"/>
          </w:tcPr>
          <w:p w14:paraId="51CFA2B4">
            <w:pPr>
              <w:keepNext w:val="0"/>
              <w:keepLines w:val="0"/>
              <w:pageBreakBefore w:val="0"/>
              <w:kinsoku/>
              <w:wordWrap/>
              <w:overflowPunct/>
              <w:bidi w:val="0"/>
              <w:adjustRightInd/>
              <w:snapToGrid/>
              <w:spacing w:line="400" w:lineRule="exact"/>
              <w:jc w:val="both"/>
              <w:textAlignment w:val="auto"/>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lang w:eastAsia="zh-CN"/>
              </w:rPr>
              <w:t>怒江州中医医院2025-2028年耗材配送服务采购项目（标段1：普通耗材配送服务）三次</w:t>
            </w:r>
          </w:p>
        </w:tc>
      </w:tr>
      <w:tr w14:paraId="14C61872">
        <w:tblPrEx>
          <w:tblCellMar>
            <w:top w:w="0" w:type="dxa"/>
            <w:left w:w="0" w:type="dxa"/>
            <w:bottom w:w="0" w:type="dxa"/>
            <w:right w:w="0" w:type="dxa"/>
          </w:tblCellMar>
        </w:tblPrEx>
        <w:trPr>
          <w:trHeight w:val="447"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228B30CF">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1.2.1</w:t>
            </w:r>
          </w:p>
        </w:tc>
        <w:tc>
          <w:tcPr>
            <w:tcW w:w="2024" w:type="dxa"/>
            <w:tcBorders>
              <w:top w:val="single" w:color="auto" w:sz="8" w:space="0"/>
              <w:left w:val="nil"/>
              <w:bottom w:val="single" w:color="auto" w:sz="8" w:space="0"/>
              <w:right w:val="single" w:color="auto" w:sz="8" w:space="0"/>
            </w:tcBorders>
            <w:vAlign w:val="center"/>
          </w:tcPr>
          <w:p w14:paraId="488270A6">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资金落实情况</w:t>
            </w:r>
          </w:p>
        </w:tc>
        <w:tc>
          <w:tcPr>
            <w:tcW w:w="6799" w:type="dxa"/>
            <w:tcBorders>
              <w:top w:val="single" w:color="auto" w:sz="8" w:space="0"/>
              <w:left w:val="nil"/>
              <w:bottom w:val="single" w:color="auto" w:sz="8" w:space="0"/>
              <w:right w:val="single" w:color="auto" w:sz="8" w:space="0"/>
            </w:tcBorders>
            <w:vAlign w:val="center"/>
          </w:tcPr>
          <w:p w14:paraId="038B87EC">
            <w:pPr>
              <w:keepNext w:val="0"/>
              <w:keepLines w:val="0"/>
              <w:pageBreakBefore w:val="0"/>
              <w:kinsoku/>
              <w:wordWrap/>
              <w:overflowPunct/>
              <w:bidi w:val="0"/>
              <w:adjustRightInd/>
              <w:snapToGrid/>
              <w:spacing w:line="400" w:lineRule="exact"/>
              <w:jc w:val="both"/>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已落实</w:t>
            </w:r>
          </w:p>
        </w:tc>
      </w:tr>
      <w:tr w14:paraId="26CB7F13">
        <w:tblPrEx>
          <w:tblCellMar>
            <w:top w:w="0" w:type="dxa"/>
            <w:left w:w="0" w:type="dxa"/>
            <w:bottom w:w="0" w:type="dxa"/>
            <w:right w:w="0" w:type="dxa"/>
          </w:tblCellMar>
        </w:tblPrEx>
        <w:trPr>
          <w:trHeight w:val="538"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2E41219F">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1.2.2</w:t>
            </w:r>
          </w:p>
        </w:tc>
        <w:tc>
          <w:tcPr>
            <w:tcW w:w="2024" w:type="dxa"/>
            <w:tcBorders>
              <w:top w:val="single" w:color="auto" w:sz="8" w:space="0"/>
              <w:left w:val="nil"/>
              <w:bottom w:val="single" w:color="auto" w:sz="8" w:space="0"/>
              <w:right w:val="single" w:color="auto" w:sz="8" w:space="0"/>
            </w:tcBorders>
            <w:vAlign w:val="center"/>
          </w:tcPr>
          <w:p w14:paraId="384FAE8C">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预算金额</w:t>
            </w:r>
          </w:p>
        </w:tc>
        <w:tc>
          <w:tcPr>
            <w:tcW w:w="6799" w:type="dxa"/>
            <w:tcBorders>
              <w:top w:val="single" w:color="auto" w:sz="8" w:space="0"/>
              <w:left w:val="nil"/>
              <w:bottom w:val="single" w:color="auto" w:sz="8" w:space="0"/>
              <w:right w:val="single" w:color="auto" w:sz="8" w:space="0"/>
            </w:tcBorders>
            <w:vAlign w:val="center"/>
          </w:tcPr>
          <w:p w14:paraId="5C819066">
            <w:pPr>
              <w:keepNext w:val="0"/>
              <w:keepLines w:val="0"/>
              <w:pageBreakBefore w:val="0"/>
              <w:kinsoku/>
              <w:wordWrap/>
              <w:overflowPunct/>
              <w:bidi w:val="0"/>
              <w:adjustRightInd/>
              <w:snapToGrid/>
              <w:spacing w:line="400" w:lineRule="exact"/>
              <w:jc w:val="both"/>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详见第一章“招标公告”</w:t>
            </w:r>
          </w:p>
        </w:tc>
      </w:tr>
      <w:tr w14:paraId="3A7F6BBB">
        <w:tblPrEx>
          <w:tblCellMar>
            <w:top w:w="0" w:type="dxa"/>
            <w:left w:w="0" w:type="dxa"/>
            <w:bottom w:w="0" w:type="dxa"/>
            <w:right w:w="0" w:type="dxa"/>
          </w:tblCellMar>
        </w:tblPrEx>
        <w:trPr>
          <w:trHeight w:val="561"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6F0F7E08">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1.3.1</w:t>
            </w:r>
          </w:p>
        </w:tc>
        <w:tc>
          <w:tcPr>
            <w:tcW w:w="2024" w:type="dxa"/>
            <w:tcBorders>
              <w:top w:val="single" w:color="auto" w:sz="8" w:space="0"/>
              <w:left w:val="nil"/>
              <w:bottom w:val="single" w:color="auto" w:sz="8" w:space="0"/>
              <w:right w:val="single" w:color="auto" w:sz="8" w:space="0"/>
            </w:tcBorders>
            <w:vAlign w:val="center"/>
          </w:tcPr>
          <w:p w14:paraId="771A210A">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服务内容</w:t>
            </w:r>
          </w:p>
        </w:tc>
        <w:tc>
          <w:tcPr>
            <w:tcW w:w="6799" w:type="dxa"/>
            <w:tcBorders>
              <w:top w:val="single" w:color="auto" w:sz="8" w:space="0"/>
              <w:left w:val="nil"/>
              <w:bottom w:val="single" w:color="auto" w:sz="8" w:space="0"/>
              <w:right w:val="single" w:color="auto" w:sz="8" w:space="0"/>
            </w:tcBorders>
            <w:vAlign w:val="center"/>
          </w:tcPr>
          <w:p w14:paraId="42DF4E99">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详见第六章《服务内容及要求》的具体内容</w:t>
            </w:r>
          </w:p>
        </w:tc>
      </w:tr>
      <w:tr w14:paraId="393DD606">
        <w:tblPrEx>
          <w:tblCellMar>
            <w:top w:w="0" w:type="dxa"/>
            <w:left w:w="0" w:type="dxa"/>
            <w:bottom w:w="0" w:type="dxa"/>
            <w:right w:w="0" w:type="dxa"/>
          </w:tblCellMar>
        </w:tblPrEx>
        <w:trPr>
          <w:trHeight w:val="717"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0941FD8C">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1.3.2</w:t>
            </w:r>
          </w:p>
        </w:tc>
        <w:tc>
          <w:tcPr>
            <w:tcW w:w="2024" w:type="dxa"/>
            <w:tcBorders>
              <w:top w:val="single" w:color="auto" w:sz="8" w:space="0"/>
              <w:left w:val="nil"/>
              <w:bottom w:val="single" w:color="auto" w:sz="8" w:space="0"/>
              <w:right w:val="single" w:color="auto" w:sz="8" w:space="0"/>
            </w:tcBorders>
            <w:vAlign w:val="center"/>
          </w:tcPr>
          <w:p w14:paraId="1CF37401">
            <w:pPr>
              <w:keepNext w:val="0"/>
              <w:keepLines w:val="0"/>
              <w:pageBreakBefore w:val="0"/>
              <w:kinsoku/>
              <w:wordWrap/>
              <w:overflowPunct/>
              <w:bidi w:val="0"/>
              <w:adjustRightInd/>
              <w:snapToGrid/>
              <w:spacing w:line="400" w:lineRule="exact"/>
              <w:jc w:val="both"/>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合同履行期限</w:t>
            </w:r>
          </w:p>
        </w:tc>
        <w:tc>
          <w:tcPr>
            <w:tcW w:w="6799" w:type="dxa"/>
            <w:tcBorders>
              <w:top w:val="single" w:color="auto" w:sz="8" w:space="0"/>
              <w:left w:val="nil"/>
              <w:bottom w:val="single" w:color="auto" w:sz="8" w:space="0"/>
              <w:right w:val="single" w:color="auto" w:sz="8" w:space="0"/>
            </w:tcBorders>
            <w:vAlign w:val="center"/>
          </w:tcPr>
          <w:p w14:paraId="4FD4C90B">
            <w:pPr>
              <w:keepNext w:val="0"/>
              <w:keepLines w:val="0"/>
              <w:pageBreakBefore w:val="0"/>
              <w:kinsoku/>
              <w:wordWrap/>
              <w:overflowPunct/>
              <w:bidi w:val="0"/>
              <w:adjustRightInd/>
              <w:snapToGrid/>
              <w:spacing w:line="400" w:lineRule="exact"/>
              <w:jc w:val="both"/>
              <w:textAlignment w:val="auto"/>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lang w:bidi="ar"/>
              </w:rPr>
              <w:t>三年，合同一年一签，</w:t>
            </w:r>
            <w:r>
              <w:rPr>
                <w:rFonts w:hint="eastAsia" w:ascii="宋体" w:hAnsi="宋体" w:cs="宋体"/>
                <w:color w:val="auto"/>
                <w:kern w:val="2"/>
                <w:sz w:val="24"/>
                <w:szCs w:val="24"/>
                <w:highlight w:val="none"/>
                <w:lang w:val="en-US" w:eastAsia="zh-CN" w:bidi="ar"/>
              </w:rPr>
              <w:t>采购人</w:t>
            </w:r>
            <w:r>
              <w:rPr>
                <w:rFonts w:hint="eastAsia" w:ascii="宋体" w:hAnsi="宋体" w:cs="宋体"/>
                <w:color w:val="auto"/>
                <w:kern w:val="2"/>
                <w:sz w:val="24"/>
                <w:szCs w:val="24"/>
                <w:highlight w:val="none"/>
                <w:lang w:bidi="ar"/>
              </w:rPr>
              <w:t>按照医院内部评价机制，评价合格即可签订下一年度合同。评价不合格</w:t>
            </w:r>
            <w:r>
              <w:rPr>
                <w:rFonts w:hint="eastAsia" w:ascii="宋体" w:hAnsi="宋体" w:cs="宋体"/>
                <w:color w:val="auto"/>
                <w:kern w:val="2"/>
                <w:sz w:val="24"/>
                <w:szCs w:val="24"/>
                <w:highlight w:val="none"/>
                <w:lang w:val="en-US" w:eastAsia="zh-CN" w:bidi="ar"/>
              </w:rPr>
              <w:t>采购人</w:t>
            </w:r>
            <w:r>
              <w:rPr>
                <w:rFonts w:hint="eastAsia" w:ascii="宋体" w:hAnsi="宋体" w:cs="宋体"/>
                <w:color w:val="auto"/>
                <w:kern w:val="2"/>
                <w:sz w:val="24"/>
                <w:szCs w:val="24"/>
                <w:highlight w:val="none"/>
                <w:lang w:bidi="ar"/>
              </w:rPr>
              <w:t>有权不签订下一年度合同，重新招标</w:t>
            </w:r>
            <w:r>
              <w:rPr>
                <w:rFonts w:hint="eastAsia" w:ascii="宋体" w:hAnsi="宋体" w:cs="宋体"/>
                <w:color w:val="auto"/>
                <w:kern w:val="2"/>
                <w:sz w:val="24"/>
                <w:szCs w:val="24"/>
                <w:highlight w:val="none"/>
                <w:lang w:eastAsia="zh-CN" w:bidi="ar"/>
              </w:rPr>
              <w:t>。</w:t>
            </w:r>
          </w:p>
        </w:tc>
      </w:tr>
      <w:tr w14:paraId="14F92E78">
        <w:tblPrEx>
          <w:tblCellMar>
            <w:top w:w="0" w:type="dxa"/>
            <w:left w:w="0" w:type="dxa"/>
            <w:bottom w:w="0" w:type="dxa"/>
            <w:right w:w="0" w:type="dxa"/>
          </w:tblCellMar>
        </w:tblPrEx>
        <w:trPr>
          <w:trHeight w:val="970"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1F592345">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1.3.3</w:t>
            </w:r>
          </w:p>
        </w:tc>
        <w:tc>
          <w:tcPr>
            <w:tcW w:w="2024" w:type="dxa"/>
            <w:tcBorders>
              <w:top w:val="single" w:color="auto" w:sz="8" w:space="0"/>
              <w:left w:val="nil"/>
              <w:bottom w:val="single" w:color="auto" w:sz="8" w:space="0"/>
              <w:right w:val="single" w:color="auto" w:sz="8" w:space="0"/>
            </w:tcBorders>
            <w:vAlign w:val="center"/>
          </w:tcPr>
          <w:p w14:paraId="717D0576">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服务地点、服务方式</w:t>
            </w:r>
          </w:p>
        </w:tc>
        <w:tc>
          <w:tcPr>
            <w:tcW w:w="6799" w:type="dxa"/>
            <w:tcBorders>
              <w:top w:val="single" w:color="auto" w:sz="8" w:space="0"/>
              <w:left w:val="nil"/>
              <w:bottom w:val="single" w:color="auto" w:sz="8" w:space="0"/>
              <w:right w:val="single" w:color="auto" w:sz="8" w:space="0"/>
            </w:tcBorders>
            <w:vAlign w:val="center"/>
          </w:tcPr>
          <w:p w14:paraId="6B0DF3A8">
            <w:pPr>
              <w:keepNext w:val="0"/>
              <w:keepLines w:val="0"/>
              <w:pageBreakBefore w:val="0"/>
              <w:kinsoku/>
              <w:wordWrap/>
              <w:overflowPunct/>
              <w:bidi w:val="0"/>
              <w:adjustRightInd/>
              <w:snapToGrid/>
              <w:spacing w:line="400" w:lineRule="exact"/>
              <w:textAlignment w:val="auto"/>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rPr>
              <w:t>服务地点：云南省怒江州六库镇（招标人指定地点）</w:t>
            </w:r>
          </w:p>
          <w:p w14:paraId="207CD5B7">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服务方式：</w:t>
            </w:r>
            <w:r>
              <w:rPr>
                <w:rFonts w:hint="eastAsia" w:ascii="宋体" w:hAnsi="宋体" w:cs="宋体"/>
                <w:color w:val="auto"/>
                <w:kern w:val="2"/>
                <w:sz w:val="24"/>
                <w:szCs w:val="24"/>
                <w:highlight w:val="none"/>
                <w:u w:val="none"/>
              </w:rPr>
              <w:t>现场服务</w:t>
            </w:r>
          </w:p>
        </w:tc>
      </w:tr>
      <w:tr w14:paraId="2E2E6495">
        <w:tblPrEx>
          <w:tblCellMar>
            <w:top w:w="0" w:type="dxa"/>
            <w:left w:w="0" w:type="dxa"/>
            <w:bottom w:w="0" w:type="dxa"/>
            <w:right w:w="0" w:type="dxa"/>
          </w:tblCellMar>
        </w:tblPrEx>
        <w:trPr>
          <w:trHeight w:val="686"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1EAD46A2">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1.4.1</w:t>
            </w:r>
          </w:p>
        </w:tc>
        <w:tc>
          <w:tcPr>
            <w:tcW w:w="2024" w:type="dxa"/>
            <w:tcBorders>
              <w:top w:val="single" w:color="auto" w:sz="8" w:space="0"/>
              <w:left w:val="nil"/>
              <w:bottom w:val="single" w:color="auto" w:sz="8" w:space="0"/>
              <w:right w:val="single" w:color="auto" w:sz="8" w:space="0"/>
            </w:tcBorders>
            <w:vAlign w:val="center"/>
          </w:tcPr>
          <w:p w14:paraId="183B296A">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投标人资格要求</w:t>
            </w:r>
          </w:p>
        </w:tc>
        <w:tc>
          <w:tcPr>
            <w:tcW w:w="6799" w:type="dxa"/>
            <w:tcBorders>
              <w:top w:val="single" w:color="auto" w:sz="8" w:space="0"/>
              <w:left w:val="nil"/>
              <w:bottom w:val="single" w:color="auto" w:sz="8" w:space="0"/>
              <w:right w:val="single" w:color="auto" w:sz="8" w:space="0"/>
            </w:tcBorders>
            <w:vAlign w:val="center"/>
          </w:tcPr>
          <w:p w14:paraId="7642DEAE">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sz w:val="24"/>
                <w:szCs w:val="24"/>
                <w:highlight w:val="none"/>
              </w:rPr>
              <w:t>详见</w:t>
            </w:r>
            <w:r>
              <w:rPr>
                <w:rFonts w:hint="eastAsia" w:ascii="宋体" w:hAnsi="宋体" w:cs="宋体"/>
                <w:color w:val="auto"/>
                <w:kern w:val="2"/>
                <w:sz w:val="24"/>
                <w:szCs w:val="24"/>
                <w:highlight w:val="none"/>
              </w:rPr>
              <w:t>“第一章 招标公告二、</w:t>
            </w:r>
            <w:r>
              <w:rPr>
                <w:rFonts w:hint="eastAsia" w:ascii="宋体" w:hAnsi="宋体" w:cs="宋体"/>
                <w:color w:val="auto"/>
                <w:kern w:val="2"/>
                <w:sz w:val="24"/>
                <w:szCs w:val="24"/>
                <w:highlight w:val="none"/>
                <w:lang w:val="en-US" w:eastAsia="zh-CN"/>
              </w:rPr>
              <w:t>申请</w:t>
            </w:r>
            <w:r>
              <w:rPr>
                <w:rFonts w:hint="eastAsia" w:ascii="宋体" w:hAnsi="宋体" w:cs="宋体"/>
                <w:color w:val="auto"/>
                <w:kern w:val="2"/>
                <w:sz w:val="24"/>
                <w:szCs w:val="24"/>
                <w:highlight w:val="none"/>
              </w:rPr>
              <w:t>人的资格要求”</w:t>
            </w:r>
          </w:p>
        </w:tc>
      </w:tr>
      <w:tr w14:paraId="0F947717">
        <w:tblPrEx>
          <w:tblCellMar>
            <w:top w:w="0" w:type="dxa"/>
            <w:left w:w="0" w:type="dxa"/>
            <w:bottom w:w="0" w:type="dxa"/>
            <w:right w:w="0" w:type="dxa"/>
          </w:tblCellMar>
        </w:tblPrEx>
        <w:trPr>
          <w:trHeight w:val="2855"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17F9EA83">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1.4.2</w:t>
            </w:r>
          </w:p>
        </w:tc>
        <w:tc>
          <w:tcPr>
            <w:tcW w:w="2024" w:type="dxa"/>
            <w:tcBorders>
              <w:top w:val="single" w:color="auto" w:sz="8" w:space="0"/>
              <w:left w:val="nil"/>
              <w:bottom w:val="single" w:color="auto" w:sz="8" w:space="0"/>
              <w:right w:val="single" w:color="auto" w:sz="8" w:space="0"/>
            </w:tcBorders>
            <w:vAlign w:val="center"/>
          </w:tcPr>
          <w:p w14:paraId="40F2EF7B">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是否接受联合体投标</w:t>
            </w:r>
          </w:p>
        </w:tc>
        <w:tc>
          <w:tcPr>
            <w:tcW w:w="6799" w:type="dxa"/>
            <w:tcBorders>
              <w:top w:val="single" w:color="auto" w:sz="8" w:space="0"/>
              <w:left w:val="nil"/>
              <w:bottom w:val="single" w:color="auto" w:sz="8" w:space="0"/>
              <w:right w:val="single" w:color="auto" w:sz="8" w:space="0"/>
            </w:tcBorders>
            <w:vAlign w:val="bottom"/>
          </w:tcPr>
          <w:p w14:paraId="62C5CCC4">
            <w:pPr>
              <w:keepNext w:val="0"/>
              <w:keepLines w:val="0"/>
              <w:pageBreakBefore w:val="0"/>
              <w:kinsoku/>
              <w:wordWrap/>
              <w:overflowPunct/>
              <w:bidi w:val="0"/>
              <w:adjustRightInd/>
              <w:snapToGrid/>
              <w:spacing w:line="400" w:lineRule="exact"/>
              <w:textAlignment w:val="auto"/>
              <w:rPr>
                <w:rFonts w:hint="eastAsia" w:ascii="宋体" w:hAnsi="宋体" w:cs="宋体"/>
                <w:color w:val="auto"/>
                <w:sz w:val="24"/>
                <w:szCs w:val="24"/>
                <w:highlight w:val="none"/>
              </w:rPr>
            </w:pPr>
            <w:r>
              <w:rPr>
                <w:rFonts w:ascii="Segoe UI Symbol" w:hAnsi="Segoe UI Symbol" w:cs="Segoe UI Symbol"/>
                <w:color w:val="auto"/>
                <w:sz w:val="24"/>
                <w:szCs w:val="24"/>
                <w:highlight w:val="none"/>
              </w:rPr>
              <w:t>☑</w:t>
            </w:r>
            <w:r>
              <w:rPr>
                <w:rFonts w:hint="eastAsia" w:ascii="宋体" w:hAnsi="宋体" w:cs="宋体"/>
                <w:color w:val="auto"/>
                <w:sz w:val="24"/>
                <w:szCs w:val="24"/>
                <w:highlight w:val="none"/>
              </w:rPr>
              <w:t>不接受</w:t>
            </w:r>
          </w:p>
          <w:p w14:paraId="786C6838">
            <w:pPr>
              <w:keepNext w:val="0"/>
              <w:keepLines w:val="0"/>
              <w:pageBreakBefore w:val="0"/>
              <w:kinsoku/>
              <w:wordWrap/>
              <w:overflowPunct/>
              <w:bidi w:val="0"/>
              <w:adjustRightInd/>
              <w:snapToGrid/>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□接受，应满足下列要求：</w:t>
            </w:r>
          </w:p>
          <w:p w14:paraId="6F9FC9E4">
            <w:pPr>
              <w:keepNext w:val="0"/>
              <w:keepLines w:val="0"/>
              <w:pageBreakBefore w:val="0"/>
              <w:kinsoku/>
              <w:wordWrap/>
              <w:overflowPunct/>
              <w:bidi w:val="0"/>
              <w:adjustRightInd/>
              <w:snapToGrid/>
              <w:spacing w:line="400" w:lineRule="exact"/>
              <w:ind w:firstLine="482" w:firstLineChars="200"/>
              <w:textAlignment w:val="auto"/>
              <w:rPr>
                <w:rFonts w:hint="eastAsia" w:ascii="宋体" w:hAnsi="宋体" w:cs="宋体"/>
                <w:color w:val="auto"/>
                <w:sz w:val="24"/>
                <w:szCs w:val="24"/>
                <w:highlight w:val="none"/>
              </w:rPr>
            </w:pPr>
            <w:r>
              <w:rPr>
                <w:rFonts w:hint="eastAsia" w:ascii="宋体" w:hAnsi="宋体" w:cs="宋体"/>
                <w:b/>
                <w:bCs/>
                <w:color w:val="auto"/>
                <w:sz w:val="24"/>
                <w:szCs w:val="24"/>
                <w:highlight w:val="none"/>
              </w:rPr>
              <w:t>信用要求：</w:t>
            </w:r>
            <w:r>
              <w:rPr>
                <w:rFonts w:hint="eastAsia" w:ascii="宋体" w:hAnsi="宋体" w:cs="宋体"/>
                <w:color w:val="auto"/>
                <w:sz w:val="24"/>
                <w:szCs w:val="24"/>
                <w:highlight w:val="none"/>
              </w:rPr>
              <w:t>两个以上的自然人、法人或者其他组织组成一个联合体，以一个投标人的身份共同参加政府采购活动的，应当对所有联合体成员进行信用记录查询，联合体成员存在不良信用记录的，视同联合体存在不良信用记录。</w:t>
            </w:r>
          </w:p>
          <w:p w14:paraId="1B39C680">
            <w:pPr>
              <w:keepNext w:val="0"/>
              <w:keepLines w:val="0"/>
              <w:pageBreakBefore w:val="0"/>
              <w:kinsoku/>
              <w:wordWrap/>
              <w:overflowPunct/>
              <w:bidi w:val="0"/>
              <w:adjustRightInd/>
              <w:snapToGrid/>
              <w:spacing w:line="400" w:lineRule="exact"/>
              <w:ind w:firstLine="482" w:firstLineChars="200"/>
              <w:textAlignment w:val="auto"/>
              <w:rPr>
                <w:rFonts w:hint="eastAsia" w:ascii="宋体" w:hAnsi="宋体" w:cs="宋体"/>
                <w:color w:val="auto"/>
                <w:kern w:val="2"/>
                <w:sz w:val="24"/>
                <w:szCs w:val="24"/>
                <w:highlight w:val="none"/>
              </w:rPr>
            </w:pPr>
            <w:r>
              <w:rPr>
                <w:rFonts w:hint="eastAsia" w:ascii="宋体" w:hAnsi="宋体" w:cs="宋体"/>
                <w:b/>
                <w:bCs/>
                <w:color w:val="auto"/>
                <w:sz w:val="24"/>
                <w:szCs w:val="24"/>
                <w:highlight w:val="none"/>
              </w:rPr>
              <w:t>其他要求：</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tc>
      </w:tr>
      <w:tr w14:paraId="7C0824EC">
        <w:tblPrEx>
          <w:tblCellMar>
            <w:top w:w="0" w:type="dxa"/>
            <w:left w:w="0" w:type="dxa"/>
            <w:bottom w:w="0" w:type="dxa"/>
            <w:right w:w="0" w:type="dxa"/>
          </w:tblCellMar>
        </w:tblPrEx>
        <w:trPr>
          <w:trHeight w:val="563"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068C5AD8">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1.9.1</w:t>
            </w:r>
          </w:p>
        </w:tc>
        <w:tc>
          <w:tcPr>
            <w:tcW w:w="2024" w:type="dxa"/>
            <w:tcBorders>
              <w:top w:val="single" w:color="auto" w:sz="8" w:space="0"/>
              <w:left w:val="nil"/>
              <w:bottom w:val="single" w:color="auto" w:sz="8" w:space="0"/>
              <w:right w:val="single" w:color="auto" w:sz="8" w:space="0"/>
            </w:tcBorders>
            <w:vAlign w:val="center"/>
          </w:tcPr>
          <w:p w14:paraId="73B1687A">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现场考察</w:t>
            </w:r>
          </w:p>
        </w:tc>
        <w:tc>
          <w:tcPr>
            <w:tcW w:w="6799" w:type="dxa"/>
            <w:tcBorders>
              <w:top w:val="single" w:color="auto" w:sz="8" w:space="0"/>
              <w:left w:val="nil"/>
              <w:bottom w:val="single" w:color="auto" w:sz="8" w:space="0"/>
              <w:right w:val="single" w:color="auto" w:sz="8" w:space="0"/>
            </w:tcBorders>
            <w:vAlign w:val="center"/>
          </w:tcPr>
          <w:p w14:paraId="2D8449F1">
            <w:pPr>
              <w:pStyle w:val="10"/>
              <w:keepNext w:val="0"/>
              <w:keepLines w:val="0"/>
              <w:pageBreakBefore w:val="0"/>
              <w:kinsoku/>
              <w:wordWrap/>
              <w:overflowPunct/>
              <w:topLinePunct/>
              <w:bidi w:val="0"/>
              <w:adjustRightInd/>
              <w:snapToGrid/>
              <w:spacing w:line="400" w:lineRule="exact"/>
              <w:textAlignment w:val="auto"/>
              <w:rPr>
                <w:rFonts w:hint="eastAsia" w:hAnsi="宋体" w:cs="宋体"/>
                <w:color w:val="auto"/>
                <w:kern w:val="2"/>
                <w:highlight w:val="none"/>
              </w:rPr>
            </w:pPr>
            <w:r>
              <w:rPr>
                <w:rFonts w:ascii="Segoe UI Symbol" w:hAnsi="Segoe UI Symbol" w:cs="Segoe UI Symbol"/>
                <w:color w:val="auto"/>
                <w:kern w:val="2"/>
                <w:highlight w:val="none"/>
              </w:rPr>
              <w:t>☑</w:t>
            </w:r>
            <w:r>
              <w:rPr>
                <w:rFonts w:hint="eastAsia" w:hAnsi="宋体" w:cs="宋体"/>
                <w:color w:val="auto"/>
                <w:kern w:val="2"/>
                <w:highlight w:val="none"/>
              </w:rPr>
              <w:t>不组织</w:t>
            </w:r>
          </w:p>
          <w:p w14:paraId="174E1EDF">
            <w:pPr>
              <w:keepNext w:val="0"/>
              <w:keepLines w:val="0"/>
              <w:pageBreakBefore w:val="0"/>
              <w:kinsoku/>
              <w:wordWrap/>
              <w:overflowPunct/>
              <w:bidi w:val="0"/>
              <w:adjustRightInd/>
              <w:snapToGrid/>
              <w:spacing w:line="400" w:lineRule="exact"/>
              <w:ind w:left="991" w:hanging="991" w:hangingChars="413"/>
              <w:textAlignment w:val="auto"/>
              <w:rPr>
                <w:rFonts w:hint="eastAsia" w:ascii="宋体" w:hAnsi="宋体" w:cs="宋体"/>
                <w:color w:val="auto"/>
                <w:kern w:val="2"/>
                <w:sz w:val="24"/>
                <w:szCs w:val="24"/>
                <w:highlight w:val="none"/>
                <w:u w:val="single"/>
              </w:rPr>
            </w:pPr>
            <w:r>
              <w:rPr>
                <w:rFonts w:hint="eastAsia" w:ascii="宋体" w:hAnsi="宋体" w:cs="宋体"/>
                <w:color w:val="auto"/>
                <w:kern w:val="2"/>
                <w:sz w:val="24"/>
                <w:szCs w:val="24"/>
                <w:highlight w:val="none"/>
              </w:rPr>
              <w:t>□组织，考察时间：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hint="eastAsia" w:ascii="宋体" w:hAnsi="宋体" w:cs="宋体"/>
                <w:color w:val="auto"/>
                <w:kern w:val="2"/>
                <w:sz w:val="24"/>
                <w:szCs w:val="24"/>
                <w:highlight w:val="none"/>
                <w:u w:val="single"/>
              </w:rPr>
              <w:t>(在招标文件提供期限截止后，开标前)</w:t>
            </w:r>
          </w:p>
          <w:p w14:paraId="44FC32F9">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 xml:space="preserve">        考察集中地点：</w:t>
            </w:r>
            <w:r>
              <w:rPr>
                <w:rFonts w:hint="eastAsia" w:ascii="宋体" w:hAnsi="宋体" w:cs="宋体"/>
                <w:color w:val="auto"/>
                <w:kern w:val="2"/>
                <w:sz w:val="24"/>
                <w:szCs w:val="24"/>
                <w:highlight w:val="none"/>
                <w:u w:val="single"/>
              </w:rPr>
              <w:t xml:space="preserve">                 </w:t>
            </w:r>
          </w:p>
        </w:tc>
      </w:tr>
      <w:tr w14:paraId="52A1727E">
        <w:tblPrEx>
          <w:tblCellMar>
            <w:top w:w="0" w:type="dxa"/>
            <w:left w:w="0" w:type="dxa"/>
            <w:bottom w:w="0" w:type="dxa"/>
            <w:right w:w="0" w:type="dxa"/>
          </w:tblCellMar>
        </w:tblPrEx>
        <w:trPr>
          <w:trHeight w:val="790"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0CA710FB">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bookmarkStart w:id="59" w:name="page17"/>
            <w:bookmarkEnd w:id="59"/>
            <w:r>
              <w:rPr>
                <w:rFonts w:hint="eastAsia" w:ascii="宋体" w:hAnsi="宋体" w:cs="宋体"/>
                <w:color w:val="auto"/>
                <w:kern w:val="2"/>
                <w:sz w:val="24"/>
                <w:szCs w:val="24"/>
                <w:highlight w:val="none"/>
              </w:rPr>
              <w:t>2.1</w:t>
            </w:r>
          </w:p>
        </w:tc>
        <w:tc>
          <w:tcPr>
            <w:tcW w:w="2024" w:type="dxa"/>
            <w:tcBorders>
              <w:top w:val="single" w:color="auto" w:sz="8" w:space="0"/>
              <w:left w:val="nil"/>
              <w:bottom w:val="single" w:color="auto" w:sz="8" w:space="0"/>
              <w:right w:val="single" w:color="auto" w:sz="8" w:space="0"/>
            </w:tcBorders>
            <w:vAlign w:val="center"/>
          </w:tcPr>
          <w:p w14:paraId="5D4F3946">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构成招标文件的其他资料</w:t>
            </w:r>
          </w:p>
        </w:tc>
        <w:tc>
          <w:tcPr>
            <w:tcW w:w="6799" w:type="dxa"/>
            <w:tcBorders>
              <w:top w:val="single" w:color="auto" w:sz="8" w:space="0"/>
              <w:left w:val="nil"/>
              <w:bottom w:val="single" w:color="auto" w:sz="8" w:space="0"/>
              <w:right w:val="single" w:color="auto" w:sz="8" w:space="0"/>
            </w:tcBorders>
            <w:vAlign w:val="center"/>
          </w:tcPr>
          <w:p w14:paraId="73FBE37B">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澄清、修改等内容</w:t>
            </w:r>
          </w:p>
        </w:tc>
      </w:tr>
      <w:tr w14:paraId="5DF2B7DB">
        <w:tblPrEx>
          <w:tblCellMar>
            <w:top w:w="0" w:type="dxa"/>
            <w:left w:w="0" w:type="dxa"/>
            <w:bottom w:w="0" w:type="dxa"/>
            <w:right w:w="0" w:type="dxa"/>
          </w:tblCellMar>
        </w:tblPrEx>
        <w:trPr>
          <w:trHeight w:val="559"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5F1E31F5">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2.2.3</w:t>
            </w:r>
          </w:p>
        </w:tc>
        <w:tc>
          <w:tcPr>
            <w:tcW w:w="2024" w:type="dxa"/>
            <w:tcBorders>
              <w:top w:val="single" w:color="auto" w:sz="8" w:space="0"/>
              <w:left w:val="nil"/>
              <w:bottom w:val="single" w:color="auto" w:sz="8" w:space="0"/>
              <w:right w:val="single" w:color="auto" w:sz="8" w:space="0"/>
            </w:tcBorders>
            <w:vAlign w:val="center"/>
          </w:tcPr>
          <w:p w14:paraId="31B9A4DE">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招标文件澄清或者修改发出的形式</w:t>
            </w:r>
          </w:p>
        </w:tc>
        <w:tc>
          <w:tcPr>
            <w:tcW w:w="6799" w:type="dxa"/>
            <w:tcBorders>
              <w:top w:val="single" w:color="auto" w:sz="8" w:space="0"/>
              <w:left w:val="nil"/>
              <w:bottom w:val="single" w:color="auto" w:sz="8" w:space="0"/>
              <w:right w:val="single" w:color="auto" w:sz="8" w:space="0"/>
            </w:tcBorders>
            <w:vAlign w:val="center"/>
          </w:tcPr>
          <w:p w14:paraId="30D878C9">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在原公告发布媒体上发布更正公告</w:t>
            </w:r>
          </w:p>
        </w:tc>
      </w:tr>
      <w:tr w14:paraId="3EB213C2">
        <w:tblPrEx>
          <w:tblCellMar>
            <w:top w:w="0" w:type="dxa"/>
            <w:left w:w="0" w:type="dxa"/>
            <w:bottom w:w="0" w:type="dxa"/>
            <w:right w:w="0" w:type="dxa"/>
          </w:tblCellMar>
        </w:tblPrEx>
        <w:trPr>
          <w:trHeight w:val="827"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4BFB76F9">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3.2.3</w:t>
            </w:r>
          </w:p>
        </w:tc>
        <w:tc>
          <w:tcPr>
            <w:tcW w:w="2024" w:type="dxa"/>
            <w:tcBorders>
              <w:top w:val="single" w:color="auto" w:sz="8" w:space="0"/>
              <w:left w:val="nil"/>
              <w:bottom w:val="single" w:color="auto" w:sz="8" w:space="0"/>
              <w:right w:val="single" w:color="auto" w:sz="8" w:space="0"/>
            </w:tcBorders>
            <w:shd w:val="clear" w:color="auto" w:fill="auto"/>
            <w:vAlign w:val="center"/>
          </w:tcPr>
          <w:p w14:paraId="6452D37D">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最高投标限价</w:t>
            </w:r>
          </w:p>
        </w:tc>
        <w:tc>
          <w:tcPr>
            <w:tcW w:w="6799" w:type="dxa"/>
            <w:tcBorders>
              <w:top w:val="single" w:color="auto" w:sz="8" w:space="0"/>
              <w:left w:val="nil"/>
              <w:bottom w:val="single" w:color="auto" w:sz="8" w:space="0"/>
              <w:right w:val="single" w:color="auto" w:sz="8" w:space="0"/>
            </w:tcBorders>
            <w:shd w:val="clear" w:color="auto" w:fill="auto"/>
            <w:vAlign w:val="center"/>
          </w:tcPr>
          <w:p w14:paraId="370B4A5C">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□无</w:t>
            </w:r>
          </w:p>
          <w:p w14:paraId="3B47BEB4">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ascii="Segoe UI Symbol" w:hAnsi="Segoe UI Symbol" w:cs="Segoe UI Symbol"/>
                <w:color w:val="auto"/>
                <w:kern w:val="2"/>
                <w:sz w:val="24"/>
                <w:szCs w:val="24"/>
                <w:highlight w:val="none"/>
              </w:rPr>
              <w:t>☑</w:t>
            </w:r>
            <w:r>
              <w:rPr>
                <w:rFonts w:hint="eastAsia" w:ascii="宋体" w:hAnsi="宋体" w:cs="宋体"/>
                <w:color w:val="auto"/>
                <w:kern w:val="2"/>
                <w:sz w:val="24"/>
                <w:szCs w:val="24"/>
                <w:highlight w:val="none"/>
              </w:rPr>
              <w:t>有，</w:t>
            </w:r>
            <w:r>
              <w:rPr>
                <w:rFonts w:hint="eastAsia" w:ascii="宋体" w:hAnsi="宋体"/>
                <w:color w:val="auto"/>
                <w:kern w:val="2"/>
                <w:sz w:val="24"/>
                <w:szCs w:val="24"/>
                <w:highlight w:val="none"/>
              </w:rPr>
              <w:t>最高投标限价：</w:t>
            </w:r>
            <w:r>
              <w:rPr>
                <w:rFonts w:hint="eastAsia" w:ascii="宋体" w:hAnsi="宋体" w:cs="宋体"/>
                <w:color w:val="auto"/>
                <w:kern w:val="2"/>
                <w:sz w:val="24"/>
                <w:szCs w:val="24"/>
                <w:highlight w:val="none"/>
              </w:rPr>
              <w:t>详见第一章“招标公告”</w:t>
            </w:r>
          </w:p>
        </w:tc>
      </w:tr>
      <w:tr w14:paraId="3C0CE28C">
        <w:tblPrEx>
          <w:tblCellMar>
            <w:top w:w="0" w:type="dxa"/>
            <w:left w:w="0" w:type="dxa"/>
            <w:bottom w:w="0" w:type="dxa"/>
            <w:right w:w="0" w:type="dxa"/>
          </w:tblCellMar>
        </w:tblPrEx>
        <w:trPr>
          <w:trHeight w:val="399"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09F07E9B">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3.2.4</w:t>
            </w:r>
          </w:p>
        </w:tc>
        <w:tc>
          <w:tcPr>
            <w:tcW w:w="2024" w:type="dxa"/>
            <w:tcBorders>
              <w:top w:val="single" w:color="auto" w:sz="8" w:space="0"/>
              <w:left w:val="nil"/>
              <w:bottom w:val="single" w:color="auto" w:sz="8" w:space="0"/>
              <w:right w:val="single" w:color="auto" w:sz="8" w:space="0"/>
            </w:tcBorders>
            <w:vAlign w:val="center"/>
          </w:tcPr>
          <w:p w14:paraId="1B0BDEAD">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投标报价的其他要求</w:t>
            </w:r>
          </w:p>
        </w:tc>
        <w:tc>
          <w:tcPr>
            <w:tcW w:w="6799" w:type="dxa"/>
            <w:tcBorders>
              <w:top w:val="single" w:color="auto" w:sz="8" w:space="0"/>
              <w:left w:val="nil"/>
              <w:bottom w:val="single" w:color="auto" w:sz="8" w:space="0"/>
              <w:right w:val="single" w:color="auto" w:sz="8" w:space="0"/>
            </w:tcBorders>
            <w:vAlign w:val="center"/>
          </w:tcPr>
          <w:p w14:paraId="2416AB15">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(1)本次投标报价为综合报价，报价应为人民币含税价（元），包括服务成本价格（含利润）、保险、税收、培训、采购代理服务费等所需全部费用。</w:t>
            </w:r>
          </w:p>
          <w:p w14:paraId="43673B93">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(2)投标人应承担所有与参加投标有关的自身的所有费用，不论采购的结果如何，采购代理机构和采购人在任何情况下均无义务和责任承担这些费用。</w:t>
            </w:r>
          </w:p>
          <w:p w14:paraId="24AFCDF2">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(3)中标服务费：</w:t>
            </w:r>
            <w:r>
              <w:rPr>
                <w:rFonts w:hint="eastAsia" w:ascii="宋体" w:hAnsi="宋体" w:cs="宋体"/>
                <w:color w:val="auto"/>
                <w:kern w:val="2"/>
                <w:sz w:val="24"/>
                <w:szCs w:val="24"/>
                <w:highlight w:val="none"/>
                <w:lang w:val="en-US" w:eastAsia="zh-CN"/>
              </w:rPr>
              <w:t>根据预算金额</w:t>
            </w:r>
            <w:r>
              <w:rPr>
                <w:rFonts w:hint="eastAsia" w:ascii="宋体" w:hAnsi="宋体"/>
                <w:color w:val="auto"/>
                <w:sz w:val="24"/>
                <w:highlight w:val="none"/>
                <w:lang w:val="en-US" w:eastAsia="zh-CN"/>
              </w:rPr>
              <w:t>按《云南省建设工程招标代理服务收费参考意见》的通知（云建招协〔2024〕58号）服务类收费标准下浮20%计算后由中标人向云南元大工程咨询有限责任公司交纳</w:t>
            </w:r>
            <w:r>
              <w:rPr>
                <w:rFonts w:hint="eastAsia" w:ascii="宋体" w:hAnsi="宋体" w:cs="宋体"/>
                <w:color w:val="auto"/>
                <w:kern w:val="2"/>
                <w:sz w:val="24"/>
                <w:szCs w:val="24"/>
                <w:highlight w:val="none"/>
              </w:rPr>
              <w:t>。见下表</w:t>
            </w:r>
          </w:p>
          <w:p w14:paraId="12AB8D21">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sz w:val="24"/>
                <w:szCs w:val="24"/>
                <w:highlight w:val="none"/>
              </w:rPr>
            </w:pPr>
            <w:r>
              <w:rPr>
                <w:color w:val="auto"/>
                <w:highlight w:val="none"/>
              </w:rPr>
              <w:drawing>
                <wp:anchor distT="0" distB="0" distL="114300" distR="114300" simplePos="0" relativeHeight="251661312" behindDoc="1" locked="0" layoutInCell="1" allowOverlap="1">
                  <wp:simplePos x="0" y="0"/>
                  <wp:positionH relativeFrom="column">
                    <wp:posOffset>10795</wp:posOffset>
                  </wp:positionH>
                  <wp:positionV relativeFrom="paragraph">
                    <wp:posOffset>191135</wp:posOffset>
                  </wp:positionV>
                  <wp:extent cx="4300855" cy="2599055"/>
                  <wp:effectExtent l="0" t="0" r="4445" b="1079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4300855" cy="2599055"/>
                          </a:xfrm>
                          <a:prstGeom prst="rect">
                            <a:avLst/>
                          </a:prstGeom>
                          <a:noFill/>
                          <a:ln>
                            <a:noFill/>
                          </a:ln>
                        </pic:spPr>
                      </pic:pic>
                    </a:graphicData>
                  </a:graphic>
                </wp:anchor>
              </w:drawing>
            </w:r>
            <w:r>
              <w:rPr>
                <w:rFonts w:hint="eastAsia" w:ascii="宋体" w:hAnsi="宋体" w:cs="宋体"/>
                <w:color w:val="auto"/>
                <w:sz w:val="24"/>
                <w:szCs w:val="24"/>
                <w:highlight w:val="none"/>
              </w:rPr>
              <w:t>招标代理服务收费标准</w:t>
            </w:r>
          </w:p>
          <w:p w14:paraId="75AE4195">
            <w:pPr>
              <w:pStyle w:val="11"/>
              <w:keepNext w:val="0"/>
              <w:keepLines w:val="0"/>
              <w:pageBreakBefore w:val="0"/>
              <w:kinsoku/>
              <w:wordWrap/>
              <w:overflowPunct/>
              <w:bidi w:val="0"/>
              <w:adjustRightInd/>
              <w:snapToGrid/>
              <w:spacing w:line="400" w:lineRule="exact"/>
              <w:textAlignment w:val="auto"/>
              <w:rPr>
                <w:rFonts w:hint="eastAsia" w:ascii="宋体" w:hAnsi="宋体" w:cs="宋体"/>
                <w:color w:val="auto"/>
                <w:sz w:val="24"/>
                <w:szCs w:val="24"/>
                <w:highlight w:val="none"/>
              </w:rPr>
            </w:pPr>
          </w:p>
          <w:p w14:paraId="016F74D5">
            <w:pPr>
              <w:keepNext w:val="0"/>
              <w:keepLines w:val="0"/>
              <w:pageBreakBefore w:val="0"/>
              <w:kinsoku/>
              <w:wordWrap/>
              <w:overflowPunct/>
              <w:bidi w:val="0"/>
              <w:adjustRightInd/>
              <w:snapToGrid/>
              <w:spacing w:line="400" w:lineRule="exact"/>
              <w:textAlignment w:val="auto"/>
              <w:rPr>
                <w:rFonts w:hint="eastAsia" w:ascii="宋体" w:hAnsi="宋体" w:cs="宋体"/>
                <w:color w:val="auto"/>
                <w:sz w:val="24"/>
                <w:szCs w:val="24"/>
                <w:highlight w:val="none"/>
              </w:rPr>
            </w:pPr>
          </w:p>
          <w:p w14:paraId="006280E1">
            <w:pPr>
              <w:pStyle w:val="11"/>
              <w:keepNext w:val="0"/>
              <w:keepLines w:val="0"/>
              <w:pageBreakBefore w:val="0"/>
              <w:kinsoku/>
              <w:wordWrap/>
              <w:overflowPunct/>
              <w:bidi w:val="0"/>
              <w:adjustRightInd/>
              <w:snapToGrid/>
              <w:spacing w:line="400" w:lineRule="exact"/>
              <w:textAlignment w:val="auto"/>
              <w:rPr>
                <w:rFonts w:hint="eastAsia"/>
                <w:color w:val="auto"/>
                <w:highlight w:val="none"/>
              </w:rPr>
            </w:pPr>
          </w:p>
          <w:p w14:paraId="6E39A4A4">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sz w:val="24"/>
                <w:szCs w:val="24"/>
                <w:highlight w:val="none"/>
              </w:rPr>
            </w:pPr>
          </w:p>
          <w:p w14:paraId="1F4F56B0">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sz w:val="24"/>
                <w:szCs w:val="24"/>
                <w:highlight w:val="none"/>
              </w:rPr>
            </w:pPr>
          </w:p>
          <w:p w14:paraId="590E5EDF">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sz w:val="24"/>
                <w:szCs w:val="24"/>
                <w:highlight w:val="none"/>
              </w:rPr>
            </w:pPr>
          </w:p>
          <w:p w14:paraId="1D2B2B8A">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sz w:val="24"/>
                <w:szCs w:val="24"/>
                <w:highlight w:val="none"/>
              </w:rPr>
            </w:pPr>
          </w:p>
          <w:p w14:paraId="19598209">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sz w:val="24"/>
                <w:szCs w:val="24"/>
                <w:highlight w:val="none"/>
              </w:rPr>
            </w:pPr>
          </w:p>
          <w:p w14:paraId="4282EDC6">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sz w:val="24"/>
                <w:szCs w:val="24"/>
                <w:highlight w:val="none"/>
              </w:rPr>
            </w:pPr>
          </w:p>
          <w:p w14:paraId="0A25FB03">
            <w:pPr>
              <w:keepNext w:val="0"/>
              <w:keepLines w:val="0"/>
              <w:pageBreakBefore w:val="0"/>
              <w:kinsoku/>
              <w:wordWrap/>
              <w:overflowPunct/>
              <w:autoSpaceDE w:val="0"/>
              <w:autoSpaceDN w:val="0"/>
              <w:bidi w:val="0"/>
              <w:adjustRightInd/>
              <w:snapToGrid/>
              <w:spacing w:line="400" w:lineRule="exact"/>
              <w:textAlignment w:val="auto"/>
              <w:rPr>
                <w:rFonts w:hint="eastAsia" w:ascii="宋体" w:hAnsi="宋体" w:cs="宋体"/>
                <w:color w:val="auto"/>
                <w:kern w:val="2"/>
                <w:sz w:val="24"/>
                <w:szCs w:val="24"/>
                <w:highlight w:val="none"/>
              </w:rPr>
            </w:pPr>
          </w:p>
          <w:p w14:paraId="6E5F08F2">
            <w:pPr>
              <w:keepNext w:val="0"/>
              <w:keepLines w:val="0"/>
              <w:pageBreakBefore w:val="0"/>
              <w:kinsoku/>
              <w:wordWrap/>
              <w:overflowPunct/>
              <w:autoSpaceDE w:val="0"/>
              <w:autoSpaceDN w:val="0"/>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账户名称：云南元大工程咨询有限责任公司</w:t>
            </w:r>
          </w:p>
          <w:p w14:paraId="70A67B73">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开户银行：招商银行昆明联盟路支行</w:t>
            </w:r>
          </w:p>
          <w:p w14:paraId="3965B409">
            <w:pPr>
              <w:keepNext w:val="0"/>
              <w:keepLines w:val="0"/>
              <w:pageBreakBefore w:val="0"/>
              <w:kinsoku/>
              <w:wordWrap/>
              <w:overflowPunct/>
              <w:autoSpaceDE w:val="0"/>
              <w:autoSpaceDN w:val="0"/>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账    号：8719 0671 3610 009</w:t>
            </w:r>
          </w:p>
          <w:p w14:paraId="22753EB9">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财务电话：(0871)63338592</w:t>
            </w:r>
          </w:p>
        </w:tc>
      </w:tr>
      <w:tr w14:paraId="6F04B002">
        <w:tblPrEx>
          <w:tblCellMar>
            <w:top w:w="0" w:type="dxa"/>
            <w:left w:w="0" w:type="dxa"/>
            <w:bottom w:w="0" w:type="dxa"/>
            <w:right w:w="0" w:type="dxa"/>
          </w:tblCellMar>
        </w:tblPrEx>
        <w:trPr>
          <w:trHeight w:val="597"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4059638B">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3.3.1</w:t>
            </w:r>
          </w:p>
        </w:tc>
        <w:tc>
          <w:tcPr>
            <w:tcW w:w="2024" w:type="dxa"/>
            <w:tcBorders>
              <w:top w:val="single" w:color="auto" w:sz="8" w:space="0"/>
              <w:left w:val="nil"/>
              <w:bottom w:val="single" w:color="auto" w:sz="8" w:space="0"/>
              <w:right w:val="single" w:color="auto" w:sz="8" w:space="0"/>
            </w:tcBorders>
            <w:vAlign w:val="center"/>
          </w:tcPr>
          <w:p w14:paraId="1BDF6257">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投标有效期</w:t>
            </w:r>
          </w:p>
        </w:tc>
        <w:tc>
          <w:tcPr>
            <w:tcW w:w="6799" w:type="dxa"/>
            <w:tcBorders>
              <w:top w:val="single" w:color="auto" w:sz="8" w:space="0"/>
              <w:left w:val="nil"/>
              <w:bottom w:val="single" w:color="auto" w:sz="8" w:space="0"/>
              <w:right w:val="single" w:color="auto" w:sz="8" w:space="0"/>
            </w:tcBorders>
            <w:vAlign w:val="center"/>
          </w:tcPr>
          <w:p w14:paraId="445D9842">
            <w:pPr>
              <w:pStyle w:val="58"/>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投标有效期为</w:t>
            </w:r>
            <w:r>
              <w:rPr>
                <w:rFonts w:hint="eastAsia" w:ascii="宋体" w:hAnsi="宋体" w:cs="宋体"/>
                <w:color w:val="auto"/>
                <w:kern w:val="2"/>
                <w:sz w:val="24"/>
                <w:szCs w:val="24"/>
                <w:highlight w:val="none"/>
                <w:u w:val="single"/>
              </w:rPr>
              <w:t>90</w:t>
            </w:r>
            <w:r>
              <w:rPr>
                <w:rFonts w:hint="eastAsia" w:ascii="宋体" w:hAnsi="宋体" w:cs="宋体"/>
                <w:color w:val="auto"/>
                <w:kern w:val="2"/>
                <w:sz w:val="24"/>
                <w:szCs w:val="24"/>
                <w:highlight w:val="none"/>
              </w:rPr>
              <w:t>日历天</w:t>
            </w:r>
            <w:r>
              <w:rPr>
                <w:rFonts w:hint="eastAsia" w:ascii="宋体" w:hAnsi="宋体" w:cs="宋体"/>
                <w:color w:val="auto"/>
                <w:sz w:val="24"/>
                <w:szCs w:val="24"/>
                <w:highlight w:val="none"/>
              </w:rPr>
              <w:t>(从投标截止之日算起)</w:t>
            </w:r>
            <w:r>
              <w:rPr>
                <w:rFonts w:hint="eastAsia" w:ascii="宋体" w:hAnsi="宋体" w:cs="宋体"/>
                <w:color w:val="auto"/>
                <w:kern w:val="2"/>
                <w:sz w:val="24"/>
                <w:szCs w:val="24"/>
                <w:highlight w:val="none"/>
              </w:rPr>
              <w:t>。</w:t>
            </w:r>
          </w:p>
        </w:tc>
      </w:tr>
      <w:tr w14:paraId="54C3C3AB">
        <w:tblPrEx>
          <w:tblCellMar>
            <w:top w:w="0" w:type="dxa"/>
            <w:left w:w="0" w:type="dxa"/>
            <w:bottom w:w="0" w:type="dxa"/>
            <w:right w:w="0" w:type="dxa"/>
          </w:tblCellMar>
        </w:tblPrEx>
        <w:trPr>
          <w:trHeight w:val="760"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11B6860E">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3.4.1</w:t>
            </w:r>
          </w:p>
        </w:tc>
        <w:tc>
          <w:tcPr>
            <w:tcW w:w="2024" w:type="dxa"/>
            <w:tcBorders>
              <w:top w:val="single" w:color="auto" w:sz="8" w:space="0"/>
              <w:left w:val="nil"/>
              <w:bottom w:val="single" w:color="auto" w:sz="8" w:space="0"/>
              <w:right w:val="single" w:color="auto" w:sz="8" w:space="0"/>
            </w:tcBorders>
            <w:vAlign w:val="center"/>
          </w:tcPr>
          <w:p w14:paraId="48430905">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投标保证金</w:t>
            </w:r>
          </w:p>
        </w:tc>
        <w:tc>
          <w:tcPr>
            <w:tcW w:w="6799" w:type="dxa"/>
            <w:tcBorders>
              <w:top w:val="single" w:color="auto" w:sz="8" w:space="0"/>
              <w:left w:val="nil"/>
              <w:bottom w:val="single" w:color="auto" w:sz="8" w:space="0"/>
              <w:right w:val="single" w:color="auto" w:sz="8" w:space="0"/>
            </w:tcBorders>
            <w:vAlign w:val="center"/>
          </w:tcPr>
          <w:p w14:paraId="7850985F">
            <w:pPr>
              <w:keepNext w:val="0"/>
              <w:keepLines w:val="0"/>
              <w:pageBreakBefore w:val="0"/>
              <w:widowControl w:val="0"/>
              <w:kinsoku/>
              <w:wordWrap/>
              <w:overflowPunct/>
              <w:bidi w:val="0"/>
              <w:adjustRightInd/>
              <w:snapToGrid/>
              <w:spacing w:line="400" w:lineRule="exact"/>
              <w:textAlignment w:val="auto"/>
              <w:rPr>
                <w:rFonts w:hint="eastAsia" w:ascii="宋体" w:hAnsi="宋体" w:cs="宋体"/>
                <w:b w:val="0"/>
                <w:bCs w:val="0"/>
                <w:color w:val="auto"/>
                <w:sz w:val="24"/>
                <w:szCs w:val="24"/>
                <w:highlight w:val="none"/>
                <w:u w:val="single"/>
              </w:rPr>
            </w:pPr>
            <w:r>
              <w:rPr>
                <w:rFonts w:hint="eastAsia" w:ascii="宋体" w:hAnsi="宋体" w:cs="宋体"/>
                <w:b/>
                <w:bCs/>
                <w:color w:val="auto"/>
                <w:kern w:val="2"/>
                <w:sz w:val="24"/>
                <w:szCs w:val="24"/>
                <w:highlight w:val="none"/>
                <w:lang w:bidi="ar"/>
              </w:rPr>
              <w:t>(1)投标保证金的金额：</w:t>
            </w:r>
            <w:r>
              <w:rPr>
                <w:rFonts w:hint="eastAsia" w:ascii="宋体" w:hAnsi="宋体" w:cs="宋体"/>
                <w:b w:val="0"/>
                <w:bCs w:val="0"/>
                <w:color w:val="auto"/>
                <w:kern w:val="2"/>
                <w:sz w:val="24"/>
                <w:szCs w:val="24"/>
                <w:highlight w:val="none"/>
                <w:lang w:val="en-US" w:eastAsia="zh-CN" w:bidi="ar"/>
              </w:rPr>
              <w:t>1</w:t>
            </w:r>
            <w:r>
              <w:rPr>
                <w:rFonts w:hint="eastAsia" w:ascii="宋体" w:hAnsi="宋体" w:cs="宋体"/>
                <w:b w:val="0"/>
                <w:bCs w:val="0"/>
                <w:color w:val="auto"/>
                <w:kern w:val="2"/>
                <w:sz w:val="24"/>
                <w:szCs w:val="24"/>
                <w:highlight w:val="none"/>
                <w:lang w:bidi="ar"/>
              </w:rPr>
              <w:t>0000.00元</w:t>
            </w:r>
            <w:r>
              <w:rPr>
                <w:rFonts w:hint="eastAsia" w:ascii="宋体" w:hAnsi="宋体" w:cs="宋体"/>
                <w:b w:val="0"/>
                <w:bCs w:val="0"/>
                <w:color w:val="auto"/>
                <w:sz w:val="24"/>
                <w:szCs w:val="24"/>
                <w:highlight w:val="none"/>
                <w:lang w:bidi="ar"/>
              </w:rPr>
              <w:t>；</w:t>
            </w:r>
          </w:p>
          <w:p w14:paraId="7FF91992">
            <w:pPr>
              <w:pStyle w:val="29"/>
              <w:keepNext w:val="0"/>
              <w:keepLines w:val="0"/>
              <w:pageBreakBefore w:val="0"/>
              <w:kinsoku/>
              <w:wordWrap/>
              <w:overflowPunct/>
              <w:bidi w:val="0"/>
              <w:adjustRightInd/>
              <w:snapToGrid/>
              <w:spacing w:before="0" w:beforeAutospacing="0" w:after="0" w:afterAutospacing="0" w:line="400" w:lineRule="exact"/>
              <w:textAlignment w:val="auto"/>
              <w:rPr>
                <w:rFonts w:hint="eastAsia" w:ascii="宋体" w:hAnsi="宋体" w:cs="宋体"/>
                <w:color w:val="auto"/>
                <w:kern w:val="2"/>
                <w:highlight w:val="none"/>
              </w:rPr>
            </w:pPr>
            <w:r>
              <w:rPr>
                <w:rFonts w:hint="eastAsia" w:ascii="宋体" w:hAnsi="宋体" w:cs="宋体"/>
                <w:b/>
                <w:bCs/>
                <w:color w:val="auto"/>
                <w:kern w:val="2"/>
                <w:highlight w:val="none"/>
                <w:lang w:bidi="ar"/>
              </w:rPr>
              <w:t>(2)账户名称：</w:t>
            </w:r>
            <w:r>
              <w:rPr>
                <w:rFonts w:hint="eastAsia" w:ascii="宋体" w:hAnsi="宋体" w:cs="宋体"/>
                <w:color w:val="auto"/>
                <w:kern w:val="2"/>
                <w:highlight w:val="none"/>
                <w:lang w:bidi="ar"/>
              </w:rPr>
              <w:t>云南元大工程咨询有限责任公司。</w:t>
            </w:r>
          </w:p>
          <w:p w14:paraId="0AE0405F">
            <w:pPr>
              <w:pStyle w:val="29"/>
              <w:keepNext w:val="0"/>
              <w:keepLines w:val="0"/>
              <w:pageBreakBefore w:val="0"/>
              <w:kinsoku/>
              <w:wordWrap/>
              <w:overflowPunct/>
              <w:bidi w:val="0"/>
              <w:adjustRightInd/>
              <w:snapToGrid/>
              <w:spacing w:before="0" w:beforeAutospacing="0" w:after="0" w:afterAutospacing="0" w:line="400" w:lineRule="exact"/>
              <w:textAlignment w:val="auto"/>
              <w:rPr>
                <w:rFonts w:hint="eastAsia" w:ascii="宋体" w:hAnsi="宋体" w:cs="宋体"/>
                <w:color w:val="auto"/>
                <w:kern w:val="2"/>
                <w:highlight w:val="none"/>
              </w:rPr>
            </w:pPr>
            <w:r>
              <w:rPr>
                <w:rFonts w:hint="eastAsia" w:ascii="宋体" w:hAnsi="宋体" w:cs="宋体"/>
                <w:b/>
                <w:bCs/>
                <w:color w:val="auto"/>
                <w:kern w:val="2"/>
                <w:highlight w:val="none"/>
                <w:lang w:bidi="ar"/>
              </w:rPr>
              <w:t>(3)开 户 行</w:t>
            </w:r>
            <w:r>
              <w:rPr>
                <w:rFonts w:hint="eastAsia" w:ascii="宋体" w:hAnsi="宋体" w:cs="宋体"/>
                <w:color w:val="auto"/>
                <w:kern w:val="2"/>
                <w:highlight w:val="none"/>
                <w:lang w:bidi="ar"/>
              </w:rPr>
              <w:t>：</w:t>
            </w:r>
            <w:r>
              <w:rPr>
                <w:rFonts w:hint="eastAsia" w:ascii="宋体" w:hAnsi="宋体"/>
                <w:color w:val="auto"/>
                <w:kern w:val="2"/>
                <w:highlight w:val="none"/>
              </w:rPr>
              <w:t>招商银行昆明联盟路支行</w:t>
            </w:r>
            <w:r>
              <w:rPr>
                <w:rFonts w:hint="eastAsia" w:ascii="宋体" w:hAnsi="宋体" w:cs="宋体"/>
                <w:color w:val="auto"/>
                <w:kern w:val="2"/>
                <w:highlight w:val="none"/>
                <w:lang w:bidi="ar"/>
              </w:rPr>
              <w:t>。</w:t>
            </w:r>
          </w:p>
          <w:p w14:paraId="593E7C39">
            <w:pPr>
              <w:pStyle w:val="29"/>
              <w:keepNext w:val="0"/>
              <w:keepLines w:val="0"/>
              <w:pageBreakBefore w:val="0"/>
              <w:kinsoku/>
              <w:wordWrap/>
              <w:overflowPunct/>
              <w:bidi w:val="0"/>
              <w:adjustRightInd/>
              <w:snapToGrid/>
              <w:spacing w:before="0" w:beforeAutospacing="0" w:after="0" w:afterAutospacing="0" w:line="400" w:lineRule="exact"/>
              <w:textAlignment w:val="auto"/>
              <w:rPr>
                <w:rFonts w:hint="eastAsia" w:ascii="宋体" w:hAnsi="宋体" w:eastAsia="宋体" w:cs="宋体"/>
                <w:b w:val="0"/>
                <w:bCs w:val="0"/>
                <w:color w:val="auto"/>
                <w:kern w:val="2"/>
                <w:highlight w:val="none"/>
                <w:lang w:eastAsia="zh-CN"/>
              </w:rPr>
            </w:pPr>
            <w:r>
              <w:rPr>
                <w:rFonts w:hint="eastAsia" w:ascii="宋体" w:hAnsi="宋体" w:cs="宋体"/>
                <w:b/>
                <w:bCs/>
                <w:color w:val="auto"/>
                <w:kern w:val="2"/>
                <w:highlight w:val="none"/>
                <w:lang w:bidi="ar"/>
              </w:rPr>
              <w:t>(4)账    号：</w:t>
            </w:r>
            <w:r>
              <w:rPr>
                <w:rFonts w:hint="eastAsia" w:ascii="宋体" w:hAnsi="宋体" w:cs="宋体"/>
                <w:b w:val="0"/>
                <w:bCs w:val="0"/>
                <w:color w:val="auto"/>
                <w:kern w:val="2"/>
                <w:highlight w:val="none"/>
                <w:lang w:eastAsia="zh-CN" w:bidi="ar"/>
              </w:rPr>
              <w:t>8719 0671 3610 0092 5091 2000 1</w:t>
            </w:r>
          </w:p>
          <w:p w14:paraId="1D9BBFF9">
            <w:pPr>
              <w:pStyle w:val="29"/>
              <w:keepNext w:val="0"/>
              <w:keepLines w:val="0"/>
              <w:pageBreakBefore w:val="0"/>
              <w:kinsoku/>
              <w:wordWrap/>
              <w:overflowPunct/>
              <w:bidi w:val="0"/>
              <w:adjustRightInd/>
              <w:snapToGrid/>
              <w:spacing w:before="0" w:beforeAutospacing="0" w:after="0" w:afterAutospacing="0" w:line="400" w:lineRule="exact"/>
              <w:textAlignment w:val="auto"/>
              <w:rPr>
                <w:rFonts w:hint="eastAsia" w:ascii="宋体" w:hAnsi="宋体" w:cs="宋体"/>
                <w:color w:val="auto"/>
                <w:kern w:val="2"/>
                <w:highlight w:val="none"/>
              </w:rPr>
            </w:pPr>
            <w:r>
              <w:rPr>
                <w:rFonts w:hint="eastAsia" w:ascii="宋体" w:hAnsi="宋体" w:cs="宋体"/>
                <w:b/>
                <w:bCs/>
                <w:color w:val="auto"/>
                <w:kern w:val="2"/>
                <w:highlight w:val="none"/>
                <w:lang w:bidi="ar"/>
              </w:rPr>
              <w:t>(5)财务电话：</w:t>
            </w:r>
            <w:r>
              <w:rPr>
                <w:rFonts w:hint="eastAsia" w:ascii="宋体" w:hAnsi="宋体" w:cs="宋体"/>
                <w:color w:val="auto"/>
                <w:kern w:val="2"/>
                <w:highlight w:val="none"/>
                <w:lang w:bidi="ar"/>
              </w:rPr>
              <w:t>(0871)63338592。</w:t>
            </w:r>
          </w:p>
          <w:p w14:paraId="435F0B0E">
            <w:pPr>
              <w:pStyle w:val="29"/>
              <w:keepNext w:val="0"/>
              <w:keepLines w:val="0"/>
              <w:pageBreakBefore w:val="0"/>
              <w:kinsoku/>
              <w:wordWrap/>
              <w:overflowPunct/>
              <w:bidi w:val="0"/>
              <w:adjustRightInd/>
              <w:snapToGrid/>
              <w:spacing w:before="0" w:beforeAutospacing="0" w:after="0" w:afterAutospacing="0" w:line="400" w:lineRule="exact"/>
              <w:textAlignment w:val="auto"/>
              <w:rPr>
                <w:rFonts w:hint="eastAsia" w:ascii="宋体" w:hAnsi="宋体" w:cs="宋体"/>
                <w:color w:val="auto"/>
                <w:kern w:val="2"/>
                <w:highlight w:val="none"/>
              </w:rPr>
            </w:pPr>
            <w:r>
              <w:rPr>
                <w:rFonts w:hint="eastAsia" w:ascii="宋体" w:hAnsi="宋体" w:cs="宋体"/>
                <w:b/>
                <w:bCs/>
                <w:color w:val="auto"/>
                <w:kern w:val="2"/>
                <w:highlight w:val="none"/>
                <w:lang w:bidi="ar"/>
              </w:rPr>
              <w:t>(6)提交截止时间：</w:t>
            </w:r>
            <w:r>
              <w:rPr>
                <w:rFonts w:hint="eastAsia" w:ascii="宋体" w:hAnsi="宋体" w:cs="宋体"/>
                <w:color w:val="auto"/>
                <w:kern w:val="2"/>
                <w:highlight w:val="none"/>
                <w:lang w:bidi="ar"/>
              </w:rPr>
              <w:t>同投标文件递交截止时间。</w:t>
            </w:r>
          </w:p>
          <w:p w14:paraId="47B86363">
            <w:pPr>
              <w:pStyle w:val="29"/>
              <w:keepNext w:val="0"/>
              <w:keepLines w:val="0"/>
              <w:pageBreakBefore w:val="0"/>
              <w:kinsoku/>
              <w:wordWrap/>
              <w:overflowPunct/>
              <w:bidi w:val="0"/>
              <w:adjustRightInd/>
              <w:snapToGrid/>
              <w:spacing w:before="0" w:beforeAutospacing="0" w:after="0" w:afterAutospacing="0" w:line="400" w:lineRule="exact"/>
              <w:textAlignment w:val="auto"/>
              <w:rPr>
                <w:rFonts w:hint="eastAsia" w:ascii="宋体" w:hAnsi="宋体" w:cs="宋体"/>
                <w:b w:val="0"/>
                <w:bCs w:val="0"/>
                <w:color w:val="auto"/>
                <w:kern w:val="2"/>
                <w:highlight w:val="none"/>
              </w:rPr>
            </w:pPr>
            <w:r>
              <w:rPr>
                <w:rFonts w:hint="eastAsia" w:ascii="宋体" w:hAnsi="宋体" w:cs="宋体"/>
                <w:b/>
                <w:bCs/>
                <w:color w:val="auto"/>
                <w:kern w:val="2"/>
                <w:highlight w:val="none"/>
                <w:lang w:bidi="ar"/>
              </w:rPr>
              <w:t>(7)提交方式：</w:t>
            </w:r>
            <w:r>
              <w:rPr>
                <w:rFonts w:hint="eastAsia" w:ascii="宋体" w:hAnsi="宋体" w:cs="宋体"/>
                <w:b w:val="0"/>
                <w:bCs w:val="0"/>
                <w:color w:val="auto"/>
                <w:kern w:val="2"/>
                <w:highlight w:val="none"/>
                <w:lang w:bidi="ar"/>
              </w:rPr>
              <w:t>支票、汇票、本票、保函、转账、网银、电汇等非现金形式。</w:t>
            </w:r>
          </w:p>
          <w:p w14:paraId="739CB460">
            <w:pPr>
              <w:pStyle w:val="29"/>
              <w:keepNext w:val="0"/>
              <w:keepLines w:val="0"/>
              <w:pageBreakBefore w:val="0"/>
              <w:kinsoku/>
              <w:wordWrap/>
              <w:overflowPunct/>
              <w:bidi w:val="0"/>
              <w:adjustRightInd/>
              <w:snapToGrid/>
              <w:spacing w:before="0" w:beforeAutospacing="0" w:after="0" w:afterAutospacing="0" w:line="400" w:lineRule="exact"/>
              <w:textAlignment w:val="auto"/>
              <w:rPr>
                <w:rFonts w:hint="eastAsia" w:ascii="宋体" w:hAnsi="宋体" w:cs="宋体"/>
                <w:color w:val="auto"/>
                <w:kern w:val="2"/>
                <w:highlight w:val="none"/>
              </w:rPr>
            </w:pPr>
            <w:r>
              <w:rPr>
                <w:rFonts w:hint="eastAsia" w:ascii="宋体" w:hAnsi="宋体" w:cs="宋体"/>
                <w:b/>
                <w:bCs/>
                <w:color w:val="auto"/>
                <w:kern w:val="2"/>
                <w:highlight w:val="none"/>
                <w:lang w:bidi="ar"/>
              </w:rPr>
              <w:t>(8)有效期限：</w:t>
            </w:r>
            <w:r>
              <w:rPr>
                <w:rFonts w:hint="eastAsia" w:ascii="宋体" w:hAnsi="宋体" w:cs="宋体"/>
                <w:color w:val="auto"/>
                <w:kern w:val="2"/>
                <w:highlight w:val="none"/>
                <w:lang w:bidi="ar"/>
              </w:rPr>
              <w:t>投标保证金在投标有效期内保持有效。</w:t>
            </w:r>
          </w:p>
          <w:p w14:paraId="37A618B6">
            <w:pPr>
              <w:keepNext w:val="0"/>
              <w:keepLines w:val="0"/>
              <w:pageBreakBefore w:val="0"/>
              <w:kinsoku/>
              <w:wordWrap/>
              <w:overflowPunct/>
              <w:autoSpaceDE w:val="0"/>
              <w:autoSpaceDN w:val="0"/>
              <w:bidi w:val="0"/>
              <w:adjustRightInd/>
              <w:snapToGrid/>
              <w:spacing w:line="400" w:lineRule="exact"/>
              <w:textAlignment w:val="auto"/>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lang w:bidi="ar"/>
              </w:rPr>
              <w:t>(9)注意事项：</w:t>
            </w:r>
          </w:p>
          <w:p w14:paraId="52133186">
            <w:pPr>
              <w:keepNext w:val="0"/>
              <w:keepLines w:val="0"/>
              <w:pageBreakBefore w:val="0"/>
              <w:kinsoku/>
              <w:wordWrap/>
              <w:overflowPunct/>
              <w:autoSpaceDE w:val="0"/>
              <w:autoSpaceDN w:val="0"/>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①保证金必须从投标人的基本账户划出。</w:t>
            </w:r>
          </w:p>
          <w:p w14:paraId="02F96DB8">
            <w:pPr>
              <w:keepNext w:val="0"/>
              <w:keepLines w:val="0"/>
              <w:pageBreakBefore w:val="0"/>
              <w:kinsoku/>
              <w:wordWrap/>
              <w:overflowPunct/>
              <w:autoSpaceDE w:val="0"/>
              <w:autoSpaceDN w:val="0"/>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②汇款时在“摘要”或“用途”栏目内填入“保</w:t>
            </w:r>
            <w:r>
              <w:rPr>
                <w:rFonts w:hint="eastAsia" w:ascii="宋体" w:hAnsi="宋体" w:cs="宋体"/>
                <w:color w:val="auto"/>
                <w:kern w:val="2"/>
                <w:sz w:val="24"/>
                <w:szCs w:val="24"/>
                <w:highlight w:val="none"/>
                <w:lang w:eastAsia="zh-CN" w:bidi="ar"/>
              </w:rPr>
              <w:t>20250912</w:t>
            </w:r>
            <w:r>
              <w:rPr>
                <w:rFonts w:hint="eastAsia" w:ascii="宋体" w:hAnsi="宋体" w:cs="宋体"/>
                <w:color w:val="auto"/>
                <w:kern w:val="2"/>
                <w:sz w:val="24"/>
                <w:szCs w:val="24"/>
                <w:highlight w:val="none"/>
                <w:lang w:bidi="ar"/>
              </w:rPr>
              <w:t>”。</w:t>
            </w:r>
          </w:p>
          <w:p w14:paraId="5AFAB30B">
            <w:pPr>
              <w:keepNext w:val="0"/>
              <w:keepLines w:val="0"/>
              <w:pageBreakBefore w:val="0"/>
              <w:kinsoku/>
              <w:wordWrap/>
              <w:overflowPunct/>
              <w:autoSpaceDE w:val="0"/>
              <w:autoSpaceDN w:val="0"/>
              <w:bidi w:val="0"/>
              <w:adjustRightInd/>
              <w:snapToGrid/>
              <w:spacing w:line="400" w:lineRule="exact"/>
              <w:textAlignment w:val="auto"/>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lang w:bidi="ar"/>
              </w:rPr>
              <w:t>(10)投标保证金的退还要求：</w:t>
            </w:r>
          </w:p>
          <w:p w14:paraId="4F26F720">
            <w:pPr>
              <w:keepNext w:val="0"/>
              <w:keepLines w:val="0"/>
              <w:pageBreakBefore w:val="0"/>
              <w:kinsoku/>
              <w:wordWrap/>
              <w:overflowPunct/>
              <w:autoSpaceDE w:val="0"/>
              <w:autoSpaceDN w:val="0"/>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①未中标人的投标保证金在中标通知书发出之日起5个工作日内退还；由采购代理机构财务部直接办理投标保证金的退还事宜，未中标人无需到采购代理机构现场办理；</w:t>
            </w:r>
          </w:p>
          <w:p w14:paraId="25EF03E9">
            <w:pPr>
              <w:keepNext w:val="0"/>
              <w:keepLines w:val="0"/>
              <w:pageBreakBefore w:val="0"/>
              <w:kinsoku/>
              <w:wordWrap/>
              <w:overflowPunct/>
              <w:autoSpaceDE w:val="0"/>
              <w:autoSpaceDN w:val="0"/>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②中标人的投标保证金自采购合同签订之日起5个工作日内退还中标人；请中标人及时将与采购人签订的合同书扫描件发至采购代理机构，由采购代理机构财务部直接办理投标保证金的退还事宜，中标人无需到采购代理机构现场办理。</w:t>
            </w:r>
          </w:p>
        </w:tc>
      </w:tr>
      <w:tr w14:paraId="0830D8D9">
        <w:tblPrEx>
          <w:tblCellMar>
            <w:top w:w="0" w:type="dxa"/>
            <w:left w:w="0" w:type="dxa"/>
            <w:bottom w:w="0" w:type="dxa"/>
            <w:right w:w="0" w:type="dxa"/>
          </w:tblCellMar>
        </w:tblPrEx>
        <w:trPr>
          <w:trHeight w:val="760"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2ECC1E1C">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3.5.2</w:t>
            </w:r>
          </w:p>
        </w:tc>
        <w:tc>
          <w:tcPr>
            <w:tcW w:w="2024" w:type="dxa"/>
            <w:tcBorders>
              <w:top w:val="single" w:color="auto" w:sz="8" w:space="0"/>
              <w:left w:val="nil"/>
              <w:bottom w:val="single" w:color="auto" w:sz="8" w:space="0"/>
              <w:right w:val="single" w:color="auto" w:sz="8" w:space="0"/>
            </w:tcBorders>
            <w:vAlign w:val="center"/>
          </w:tcPr>
          <w:p w14:paraId="26D48BAE">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投标文件所附证书证件要求、投标文件签字或盖章要求</w:t>
            </w:r>
          </w:p>
        </w:tc>
        <w:tc>
          <w:tcPr>
            <w:tcW w:w="6799" w:type="dxa"/>
            <w:tcBorders>
              <w:top w:val="single" w:color="auto" w:sz="8" w:space="0"/>
              <w:left w:val="nil"/>
              <w:bottom w:val="single" w:color="auto" w:sz="8" w:space="0"/>
              <w:right w:val="single" w:color="auto" w:sz="8" w:space="0"/>
            </w:tcBorders>
            <w:vAlign w:val="center"/>
          </w:tcPr>
          <w:p w14:paraId="48B52455">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投标文件所附证书证件要求：原件扫描件</w:t>
            </w:r>
          </w:p>
          <w:p w14:paraId="114A4900">
            <w:pPr>
              <w:keepNext w:val="0"/>
              <w:keepLines w:val="0"/>
              <w:pageBreakBefore w:val="0"/>
              <w:kinsoku/>
              <w:wordWrap/>
              <w:overflowPunct/>
              <w:bidi w:val="0"/>
              <w:adjustRightInd/>
              <w:snapToGrid/>
              <w:spacing w:line="400" w:lineRule="exact"/>
              <w:textAlignment w:val="auto"/>
              <w:rPr>
                <w:rFonts w:hint="eastAsia" w:ascii="宋体" w:hAnsi="宋体" w:cs="宋体"/>
                <w:b/>
                <w:bCs/>
                <w:color w:val="auto"/>
                <w:sz w:val="24"/>
                <w:szCs w:val="24"/>
                <w:highlight w:val="none"/>
              </w:rPr>
            </w:pPr>
            <w:r>
              <w:rPr>
                <w:rFonts w:hint="eastAsia" w:ascii="宋体" w:hAnsi="宋体" w:cs="宋体"/>
                <w:color w:val="auto"/>
                <w:kern w:val="2"/>
                <w:sz w:val="24"/>
                <w:szCs w:val="24"/>
                <w:highlight w:val="none"/>
                <w:lang w:bidi="ar"/>
              </w:rPr>
              <w:t>投标文件签字或盖章要求：签字或加盖</w:t>
            </w:r>
            <w:r>
              <w:rPr>
                <w:rFonts w:hint="eastAsia" w:ascii="宋体" w:hAnsi="宋体" w:cs="宋体"/>
                <w:color w:val="auto"/>
                <w:sz w:val="24"/>
                <w:highlight w:val="none"/>
                <w:lang w:bidi="ar"/>
              </w:rPr>
              <w:t>电子签名</w:t>
            </w:r>
          </w:p>
        </w:tc>
      </w:tr>
      <w:tr w14:paraId="5413918C">
        <w:tblPrEx>
          <w:tblCellMar>
            <w:top w:w="0" w:type="dxa"/>
            <w:left w:w="0" w:type="dxa"/>
            <w:bottom w:w="0" w:type="dxa"/>
            <w:right w:w="0" w:type="dxa"/>
          </w:tblCellMar>
        </w:tblPrEx>
        <w:trPr>
          <w:trHeight w:val="305"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4C326222">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3.5.3</w:t>
            </w:r>
          </w:p>
        </w:tc>
        <w:tc>
          <w:tcPr>
            <w:tcW w:w="2024" w:type="dxa"/>
            <w:tcBorders>
              <w:top w:val="single" w:color="auto" w:sz="8" w:space="0"/>
              <w:left w:val="nil"/>
              <w:bottom w:val="single" w:color="auto" w:sz="8" w:space="0"/>
              <w:right w:val="single" w:color="auto" w:sz="8" w:space="0"/>
            </w:tcBorders>
            <w:vAlign w:val="center"/>
          </w:tcPr>
          <w:p w14:paraId="0C684AC7">
            <w:pPr>
              <w:keepNext w:val="0"/>
              <w:keepLines w:val="0"/>
              <w:pageBreakBefore w:val="0"/>
              <w:kinsoku/>
              <w:wordWrap/>
              <w:overflowPunct/>
              <w:bidi w:val="0"/>
              <w:adjustRightInd/>
              <w:snapToGrid/>
              <w:spacing w:line="400" w:lineRule="exact"/>
              <w:textAlignment w:val="auto"/>
              <w:rPr>
                <w:rFonts w:hint="eastAsia" w:ascii="宋体" w:hAnsi="宋体"/>
                <w:color w:val="auto"/>
                <w:kern w:val="2"/>
                <w:sz w:val="24"/>
                <w:szCs w:val="24"/>
                <w:highlight w:val="none"/>
              </w:rPr>
            </w:pPr>
            <w:r>
              <w:rPr>
                <w:rFonts w:hint="eastAsia" w:ascii="宋体" w:hAnsi="宋体" w:cs="宋体"/>
                <w:color w:val="auto"/>
                <w:sz w:val="24"/>
                <w:szCs w:val="24"/>
                <w:highlight w:val="none"/>
                <w:lang w:bidi="ar"/>
              </w:rPr>
              <w:t>投标文件编制的其他要求</w:t>
            </w:r>
          </w:p>
        </w:tc>
        <w:tc>
          <w:tcPr>
            <w:tcW w:w="6799" w:type="dxa"/>
            <w:tcBorders>
              <w:top w:val="single" w:color="auto" w:sz="8" w:space="0"/>
              <w:left w:val="nil"/>
              <w:bottom w:val="single" w:color="auto" w:sz="8" w:space="0"/>
              <w:right w:val="single" w:color="auto" w:sz="8" w:space="0"/>
            </w:tcBorders>
            <w:vAlign w:val="center"/>
          </w:tcPr>
          <w:p w14:paraId="1E652D40">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（1）投标文件全部采用电子文档，投标人应安装客户端软件—“政采云电子交易客户端”，并按照招标文件和政采云电子交易平台的要求编制，编制后应进行电子签章、签名及加密；</w:t>
            </w:r>
          </w:p>
          <w:p w14:paraId="4A1BEF1D">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 xml:space="preserve">（2）如投标文件提交的电子标书不满足招标文件要求或开标时无法读取导入或解密，其投标文件将不予受理； </w:t>
            </w:r>
          </w:p>
          <w:p w14:paraId="4940CAA6">
            <w:pPr>
              <w:keepNext w:val="0"/>
              <w:keepLines w:val="0"/>
              <w:pageBreakBefore w:val="0"/>
              <w:kinsoku/>
              <w:wordWrap/>
              <w:overflowPunct/>
              <w:bidi w:val="0"/>
              <w:adjustRightInd/>
              <w:snapToGrid/>
              <w:spacing w:line="400" w:lineRule="exact"/>
              <w:textAlignment w:val="auto"/>
              <w:rPr>
                <w:rFonts w:hint="eastAsia" w:ascii="宋体" w:hAnsi="宋体"/>
                <w:color w:val="auto"/>
                <w:kern w:val="2"/>
                <w:sz w:val="24"/>
                <w:szCs w:val="24"/>
                <w:highlight w:val="none"/>
              </w:rPr>
            </w:pPr>
            <w:r>
              <w:rPr>
                <w:rFonts w:hint="eastAsia" w:ascii="宋体" w:hAnsi="宋体" w:cs="宋体"/>
                <w:color w:val="auto"/>
                <w:kern w:val="2"/>
                <w:sz w:val="24"/>
                <w:szCs w:val="24"/>
                <w:highlight w:val="none"/>
                <w:lang w:bidi="ar"/>
              </w:rPr>
              <w:t>（3）投标文件中提供的资料（扫描件），内容必须清晰可辨，若内容模糊，无法辨识，均视为未提供。</w:t>
            </w:r>
          </w:p>
        </w:tc>
      </w:tr>
      <w:tr w14:paraId="591C7010">
        <w:tblPrEx>
          <w:tblCellMar>
            <w:top w:w="0" w:type="dxa"/>
            <w:left w:w="0" w:type="dxa"/>
            <w:bottom w:w="0" w:type="dxa"/>
            <w:right w:w="0" w:type="dxa"/>
          </w:tblCellMar>
        </w:tblPrEx>
        <w:trPr>
          <w:trHeight w:val="3650"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051880B9">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4.1.1</w:t>
            </w:r>
          </w:p>
        </w:tc>
        <w:tc>
          <w:tcPr>
            <w:tcW w:w="2024" w:type="dxa"/>
            <w:tcBorders>
              <w:top w:val="single" w:color="auto" w:sz="8" w:space="0"/>
              <w:left w:val="nil"/>
              <w:bottom w:val="single" w:color="auto" w:sz="8" w:space="0"/>
              <w:right w:val="single" w:color="auto" w:sz="8" w:space="0"/>
            </w:tcBorders>
            <w:vAlign w:val="center"/>
          </w:tcPr>
          <w:p w14:paraId="5F63C493">
            <w:pPr>
              <w:keepNext w:val="0"/>
              <w:keepLines w:val="0"/>
              <w:pageBreakBefore w:val="0"/>
              <w:kinsoku/>
              <w:wordWrap/>
              <w:overflowPunct/>
              <w:bidi w:val="0"/>
              <w:adjustRightInd/>
              <w:snapToGrid/>
              <w:spacing w:line="400" w:lineRule="exact"/>
              <w:jc w:val="both"/>
              <w:textAlignment w:val="auto"/>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投标文件的加密</w:t>
            </w:r>
          </w:p>
        </w:tc>
        <w:tc>
          <w:tcPr>
            <w:tcW w:w="6799" w:type="dxa"/>
            <w:tcBorders>
              <w:top w:val="single" w:color="auto" w:sz="8" w:space="0"/>
              <w:left w:val="nil"/>
              <w:bottom w:val="single" w:color="auto" w:sz="8" w:space="0"/>
              <w:right w:val="single" w:color="auto" w:sz="8" w:space="0"/>
            </w:tcBorders>
            <w:vAlign w:val="center"/>
          </w:tcPr>
          <w:p w14:paraId="4FE88455">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（1）投标人进行电子交易应安装客户端软件—“政采云电子交易客户端”，并按照招标文件和电子交易平台的要求编制并加密投标文件。投标人未按规定加密的投标文件，电子交易平台将拒收并提示；</w:t>
            </w:r>
          </w:p>
          <w:p w14:paraId="449FF72A">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 xml:space="preserve">（2）使用“政采云电子交易客户端”需要提前申领 CA 数字证书，申领流程见该项目采购公告附件； </w:t>
            </w:r>
          </w:p>
          <w:p w14:paraId="38BC0ACC">
            <w:pPr>
              <w:keepNext w:val="0"/>
              <w:keepLines w:val="0"/>
              <w:pageBreakBefore w:val="0"/>
              <w:kinsoku/>
              <w:wordWrap/>
              <w:overflowPunct/>
              <w:bidi w:val="0"/>
              <w:adjustRightInd/>
              <w:snapToGrid/>
              <w:spacing w:line="400" w:lineRule="exact"/>
              <w:textAlignment w:val="auto"/>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 xml:space="preserve">（3）为确保网上操作合法、有效和安全，投标人应当在投标文件提交截止时间前完成在“政府采购云平台”的身份认证，确保在电子交易过程中能够对相关数据电文进行加密和使用电子签名。 </w:t>
            </w:r>
          </w:p>
        </w:tc>
      </w:tr>
      <w:tr w14:paraId="3CD02125">
        <w:tblPrEx>
          <w:tblCellMar>
            <w:top w:w="0" w:type="dxa"/>
            <w:left w:w="0" w:type="dxa"/>
            <w:bottom w:w="0" w:type="dxa"/>
            <w:right w:w="0" w:type="dxa"/>
          </w:tblCellMar>
        </w:tblPrEx>
        <w:trPr>
          <w:trHeight w:val="530"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71B26D0F">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4.2.1</w:t>
            </w:r>
          </w:p>
        </w:tc>
        <w:tc>
          <w:tcPr>
            <w:tcW w:w="2024" w:type="dxa"/>
            <w:tcBorders>
              <w:top w:val="single" w:color="auto" w:sz="8" w:space="0"/>
              <w:left w:val="nil"/>
              <w:bottom w:val="single" w:color="auto" w:sz="8" w:space="0"/>
              <w:right w:val="single" w:color="auto" w:sz="8" w:space="0"/>
            </w:tcBorders>
            <w:vAlign w:val="center"/>
          </w:tcPr>
          <w:p w14:paraId="073AABBA">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投标截止时间</w:t>
            </w:r>
          </w:p>
        </w:tc>
        <w:tc>
          <w:tcPr>
            <w:tcW w:w="6799" w:type="dxa"/>
            <w:tcBorders>
              <w:top w:val="single" w:color="auto" w:sz="8" w:space="0"/>
              <w:left w:val="nil"/>
              <w:bottom w:val="single" w:color="auto" w:sz="8" w:space="0"/>
              <w:right w:val="single" w:color="auto" w:sz="8" w:space="0"/>
            </w:tcBorders>
            <w:vAlign w:val="center"/>
          </w:tcPr>
          <w:p w14:paraId="201286D6">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olor w:val="auto"/>
                <w:sz w:val="24"/>
                <w:szCs w:val="24"/>
                <w:highlight w:val="none"/>
              </w:rPr>
              <w:t>详见第一章 “招标公告”</w:t>
            </w:r>
          </w:p>
        </w:tc>
      </w:tr>
      <w:tr w14:paraId="1BD8360C">
        <w:tblPrEx>
          <w:tblCellMar>
            <w:top w:w="0" w:type="dxa"/>
            <w:left w:w="0" w:type="dxa"/>
            <w:bottom w:w="0" w:type="dxa"/>
            <w:right w:w="0" w:type="dxa"/>
          </w:tblCellMar>
        </w:tblPrEx>
        <w:trPr>
          <w:trHeight w:val="900"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465347B3">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4.2.2</w:t>
            </w:r>
          </w:p>
        </w:tc>
        <w:tc>
          <w:tcPr>
            <w:tcW w:w="2024" w:type="dxa"/>
            <w:tcBorders>
              <w:top w:val="single" w:color="auto" w:sz="8" w:space="0"/>
              <w:left w:val="nil"/>
              <w:bottom w:val="single" w:color="auto" w:sz="8" w:space="0"/>
              <w:right w:val="single" w:color="auto" w:sz="8" w:space="0"/>
            </w:tcBorders>
            <w:vAlign w:val="center"/>
          </w:tcPr>
          <w:p w14:paraId="3A012884">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投标文件递交截止时间和地点</w:t>
            </w:r>
          </w:p>
        </w:tc>
        <w:tc>
          <w:tcPr>
            <w:tcW w:w="6799" w:type="dxa"/>
            <w:tcBorders>
              <w:top w:val="single" w:color="auto" w:sz="8" w:space="0"/>
              <w:left w:val="nil"/>
              <w:bottom w:val="single" w:color="auto" w:sz="8" w:space="0"/>
              <w:right w:val="single" w:color="auto" w:sz="8" w:space="0"/>
            </w:tcBorders>
            <w:vAlign w:val="center"/>
          </w:tcPr>
          <w:p w14:paraId="1C905815">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u w:val="single"/>
              </w:rPr>
            </w:pPr>
            <w:r>
              <w:rPr>
                <w:rFonts w:hint="eastAsia" w:ascii="宋体" w:hAnsi="宋体"/>
                <w:color w:val="auto"/>
                <w:sz w:val="24"/>
                <w:szCs w:val="24"/>
                <w:highlight w:val="none"/>
              </w:rPr>
              <w:t>详见第一章 “招标公告”</w:t>
            </w:r>
          </w:p>
        </w:tc>
      </w:tr>
      <w:tr w14:paraId="5EACFD3E">
        <w:tblPrEx>
          <w:tblCellMar>
            <w:top w:w="0" w:type="dxa"/>
            <w:left w:w="0" w:type="dxa"/>
            <w:bottom w:w="0" w:type="dxa"/>
            <w:right w:w="0" w:type="dxa"/>
          </w:tblCellMar>
        </w:tblPrEx>
        <w:trPr>
          <w:trHeight w:val="902"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06F05B99">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5.1</w:t>
            </w:r>
          </w:p>
        </w:tc>
        <w:tc>
          <w:tcPr>
            <w:tcW w:w="2024" w:type="dxa"/>
            <w:tcBorders>
              <w:top w:val="single" w:color="auto" w:sz="8" w:space="0"/>
              <w:left w:val="nil"/>
              <w:bottom w:val="single" w:color="auto" w:sz="8" w:space="0"/>
              <w:right w:val="single" w:color="auto" w:sz="8" w:space="0"/>
            </w:tcBorders>
            <w:vAlign w:val="center"/>
          </w:tcPr>
          <w:p w14:paraId="3C21717E">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开标时间和地点</w:t>
            </w:r>
          </w:p>
        </w:tc>
        <w:tc>
          <w:tcPr>
            <w:tcW w:w="6799" w:type="dxa"/>
            <w:tcBorders>
              <w:top w:val="single" w:color="auto" w:sz="8" w:space="0"/>
              <w:left w:val="nil"/>
              <w:bottom w:val="single" w:color="auto" w:sz="8" w:space="0"/>
              <w:right w:val="single" w:color="auto" w:sz="8" w:space="0"/>
            </w:tcBorders>
            <w:vAlign w:val="center"/>
          </w:tcPr>
          <w:p w14:paraId="4079EEC2">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开标时间：同投标截止时间</w:t>
            </w:r>
          </w:p>
          <w:p w14:paraId="557C9C9A">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开标地点：同投标文件递交地点</w:t>
            </w:r>
          </w:p>
        </w:tc>
      </w:tr>
      <w:tr w14:paraId="38425044">
        <w:tblPrEx>
          <w:tblCellMar>
            <w:top w:w="0" w:type="dxa"/>
            <w:left w:w="0" w:type="dxa"/>
            <w:bottom w:w="0" w:type="dxa"/>
            <w:right w:w="0" w:type="dxa"/>
          </w:tblCellMar>
        </w:tblPrEx>
        <w:trPr>
          <w:trHeight w:val="1330"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6E95FF34">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7.1.1</w:t>
            </w:r>
          </w:p>
        </w:tc>
        <w:tc>
          <w:tcPr>
            <w:tcW w:w="2024" w:type="dxa"/>
            <w:tcBorders>
              <w:top w:val="single" w:color="auto" w:sz="8" w:space="0"/>
              <w:left w:val="nil"/>
              <w:bottom w:val="single" w:color="auto" w:sz="8" w:space="0"/>
              <w:right w:val="single" w:color="auto" w:sz="8" w:space="0"/>
            </w:tcBorders>
            <w:vAlign w:val="center"/>
          </w:tcPr>
          <w:p w14:paraId="087C66C1">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评标委员会的组建</w:t>
            </w:r>
          </w:p>
        </w:tc>
        <w:tc>
          <w:tcPr>
            <w:tcW w:w="6799" w:type="dxa"/>
            <w:tcBorders>
              <w:top w:val="single" w:color="auto" w:sz="8" w:space="0"/>
              <w:left w:val="nil"/>
              <w:bottom w:val="single" w:color="auto" w:sz="8" w:space="0"/>
              <w:right w:val="single" w:color="auto" w:sz="8" w:space="0"/>
            </w:tcBorders>
            <w:vAlign w:val="center"/>
          </w:tcPr>
          <w:p w14:paraId="2E837D80">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sz w:val="24"/>
                <w:szCs w:val="24"/>
                <w:highlight w:val="none"/>
              </w:rPr>
              <w:t>评标委员会由采购人代表和评审专家组成，成员人数为</w:t>
            </w:r>
            <w:r>
              <w:rPr>
                <w:rFonts w:hint="eastAsia" w:ascii="宋体" w:hAnsi="宋体" w:cs="宋体"/>
                <w:color w:val="auto"/>
                <w:sz w:val="24"/>
                <w:szCs w:val="24"/>
                <w:highlight w:val="none"/>
                <w:u w:val="single"/>
              </w:rPr>
              <w:t>5</w:t>
            </w:r>
            <w:r>
              <w:rPr>
                <w:rFonts w:hint="eastAsia" w:ascii="宋体" w:hAnsi="宋体" w:cs="宋体"/>
                <w:color w:val="auto"/>
                <w:sz w:val="24"/>
                <w:szCs w:val="24"/>
                <w:highlight w:val="none"/>
              </w:rPr>
              <w:t>人</w:t>
            </w:r>
            <w:r>
              <w:rPr>
                <w:rFonts w:hint="eastAsia" w:ascii="宋体" w:hAnsi="宋体" w:cs="宋体"/>
                <w:color w:val="auto"/>
                <w:sz w:val="24"/>
                <w:szCs w:val="24"/>
                <w:highlight w:val="none"/>
                <w:lang w:val="en-US" w:eastAsia="zh-CN"/>
              </w:rPr>
              <w:t>及</w:t>
            </w:r>
            <w:r>
              <w:rPr>
                <w:rFonts w:hint="eastAsia" w:ascii="宋体" w:hAnsi="宋体" w:cs="宋体"/>
                <w:color w:val="auto"/>
                <w:sz w:val="24"/>
                <w:szCs w:val="24"/>
                <w:highlight w:val="none"/>
              </w:rPr>
              <w:t>以上单数</w:t>
            </w:r>
            <w:r>
              <w:rPr>
                <w:rFonts w:hint="eastAsia" w:ascii="宋体" w:hAnsi="宋体" w:cs="宋体"/>
                <w:color w:val="auto"/>
                <w:kern w:val="2"/>
                <w:sz w:val="24"/>
                <w:szCs w:val="24"/>
                <w:highlight w:val="none"/>
              </w:rPr>
              <w:t>。</w:t>
            </w:r>
          </w:p>
        </w:tc>
      </w:tr>
      <w:tr w14:paraId="5E9D374F">
        <w:tblPrEx>
          <w:tblCellMar>
            <w:top w:w="0" w:type="dxa"/>
            <w:left w:w="0" w:type="dxa"/>
            <w:bottom w:w="0" w:type="dxa"/>
            <w:right w:w="0" w:type="dxa"/>
          </w:tblCellMar>
        </w:tblPrEx>
        <w:trPr>
          <w:trHeight w:val="865"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28B5E57D">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7.3.2</w:t>
            </w:r>
          </w:p>
        </w:tc>
        <w:tc>
          <w:tcPr>
            <w:tcW w:w="2024" w:type="dxa"/>
            <w:tcBorders>
              <w:top w:val="single" w:color="auto" w:sz="8" w:space="0"/>
              <w:left w:val="nil"/>
              <w:bottom w:val="single" w:color="auto" w:sz="8" w:space="0"/>
              <w:right w:val="single" w:color="auto" w:sz="8" w:space="0"/>
            </w:tcBorders>
            <w:vAlign w:val="center"/>
          </w:tcPr>
          <w:p w14:paraId="18458A71">
            <w:pPr>
              <w:keepNext w:val="0"/>
              <w:keepLines w:val="0"/>
              <w:pageBreakBefore w:val="0"/>
              <w:kinsoku/>
              <w:wordWrap/>
              <w:overflowPunct/>
              <w:bidi w:val="0"/>
              <w:adjustRightInd/>
              <w:snapToGrid/>
              <w:spacing w:line="400" w:lineRule="exact"/>
              <w:textAlignment w:val="auto"/>
              <w:rPr>
                <w:rFonts w:hint="eastAsia" w:ascii="宋体" w:hAnsi="宋体"/>
                <w:color w:val="auto"/>
                <w:kern w:val="2"/>
                <w:sz w:val="24"/>
                <w:szCs w:val="24"/>
                <w:highlight w:val="none"/>
              </w:rPr>
            </w:pPr>
            <w:r>
              <w:rPr>
                <w:rFonts w:hint="eastAsia" w:ascii="宋体" w:hAnsi="宋体"/>
                <w:color w:val="auto"/>
                <w:kern w:val="2"/>
                <w:sz w:val="24"/>
                <w:szCs w:val="24"/>
                <w:highlight w:val="none"/>
              </w:rPr>
              <w:t>评标委员会推荐中标候选人的人数</w:t>
            </w:r>
          </w:p>
        </w:tc>
        <w:tc>
          <w:tcPr>
            <w:tcW w:w="6799" w:type="dxa"/>
            <w:tcBorders>
              <w:top w:val="single" w:color="auto" w:sz="8" w:space="0"/>
              <w:left w:val="nil"/>
              <w:bottom w:val="single" w:color="auto" w:sz="8" w:space="0"/>
              <w:right w:val="single" w:color="auto" w:sz="8" w:space="0"/>
            </w:tcBorders>
            <w:vAlign w:val="center"/>
          </w:tcPr>
          <w:p w14:paraId="52011BE0">
            <w:pPr>
              <w:pStyle w:val="58"/>
              <w:keepNext w:val="0"/>
              <w:keepLines w:val="0"/>
              <w:pageBreakBefore w:val="0"/>
              <w:kinsoku/>
              <w:wordWrap/>
              <w:overflowPunct/>
              <w:bidi w:val="0"/>
              <w:adjustRightInd/>
              <w:snapToGrid/>
              <w:spacing w:line="400" w:lineRule="exact"/>
              <w:jc w:val="both"/>
              <w:textAlignment w:val="auto"/>
              <w:rPr>
                <w:rFonts w:hint="eastAsia" w:ascii="宋体" w:hAnsi="宋体"/>
                <w:color w:val="auto"/>
                <w:kern w:val="2"/>
                <w:sz w:val="24"/>
                <w:szCs w:val="24"/>
                <w:highlight w:val="none"/>
              </w:rPr>
            </w:pPr>
            <w:r>
              <w:rPr>
                <w:rFonts w:hint="eastAsia" w:ascii="宋体" w:hAnsi="宋体"/>
                <w:color w:val="auto"/>
                <w:sz w:val="24"/>
                <w:szCs w:val="24"/>
                <w:highlight w:val="none"/>
              </w:rPr>
              <w:t>由评标委员会推荐3名中标候选人，由招标人根据相关法律法规确定中标人。</w:t>
            </w:r>
          </w:p>
        </w:tc>
      </w:tr>
      <w:tr w14:paraId="1B55D770">
        <w:tblPrEx>
          <w:tblCellMar>
            <w:top w:w="0" w:type="dxa"/>
            <w:left w:w="0" w:type="dxa"/>
            <w:bottom w:w="0" w:type="dxa"/>
            <w:right w:w="0" w:type="dxa"/>
          </w:tblCellMar>
        </w:tblPrEx>
        <w:trPr>
          <w:trHeight w:val="938"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56E7E00F">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8.1</w:t>
            </w:r>
          </w:p>
        </w:tc>
        <w:tc>
          <w:tcPr>
            <w:tcW w:w="2024" w:type="dxa"/>
            <w:tcBorders>
              <w:top w:val="single" w:color="auto" w:sz="8" w:space="0"/>
              <w:left w:val="nil"/>
              <w:bottom w:val="single" w:color="auto" w:sz="8" w:space="0"/>
              <w:right w:val="single" w:color="auto" w:sz="8" w:space="0"/>
            </w:tcBorders>
            <w:vAlign w:val="center"/>
          </w:tcPr>
          <w:p w14:paraId="72C600CB">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是否授权评标委员会确定中标人</w:t>
            </w:r>
          </w:p>
        </w:tc>
        <w:tc>
          <w:tcPr>
            <w:tcW w:w="6799" w:type="dxa"/>
            <w:tcBorders>
              <w:top w:val="single" w:color="auto" w:sz="8" w:space="0"/>
              <w:left w:val="nil"/>
              <w:bottom w:val="single" w:color="auto" w:sz="8" w:space="0"/>
              <w:right w:val="single" w:color="auto" w:sz="8" w:space="0"/>
            </w:tcBorders>
            <w:vAlign w:val="center"/>
          </w:tcPr>
          <w:p w14:paraId="0199BD59">
            <w:pPr>
              <w:keepNext w:val="0"/>
              <w:keepLines w:val="0"/>
              <w:pageBreakBefore w:val="0"/>
              <w:kinsoku/>
              <w:wordWrap/>
              <w:overflowPunct/>
              <w:bidi w:val="0"/>
              <w:adjustRightInd/>
              <w:snapToGrid/>
              <w:spacing w:line="400" w:lineRule="exact"/>
              <w:jc w:val="both"/>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□是</w:t>
            </w:r>
          </w:p>
          <w:p w14:paraId="6B2EB323">
            <w:pPr>
              <w:keepNext w:val="0"/>
              <w:keepLines w:val="0"/>
              <w:pageBreakBefore w:val="0"/>
              <w:kinsoku/>
              <w:wordWrap/>
              <w:overflowPunct/>
              <w:bidi w:val="0"/>
              <w:adjustRightInd/>
              <w:snapToGrid/>
              <w:spacing w:line="400" w:lineRule="exact"/>
              <w:jc w:val="both"/>
              <w:textAlignment w:val="auto"/>
              <w:rPr>
                <w:rFonts w:hint="eastAsia" w:ascii="宋体" w:hAnsi="宋体" w:cs="宋体"/>
                <w:color w:val="auto"/>
                <w:kern w:val="2"/>
                <w:sz w:val="24"/>
                <w:szCs w:val="24"/>
                <w:highlight w:val="none"/>
              </w:rPr>
            </w:pPr>
            <w:r>
              <w:rPr>
                <w:rFonts w:ascii="Segoe UI Symbol" w:hAnsi="Segoe UI Symbol" w:cs="Segoe UI Symbol"/>
                <w:color w:val="auto"/>
                <w:kern w:val="2"/>
                <w:sz w:val="24"/>
                <w:szCs w:val="24"/>
                <w:highlight w:val="none"/>
              </w:rPr>
              <w:t>☑</w:t>
            </w:r>
            <w:r>
              <w:rPr>
                <w:rFonts w:hint="eastAsia" w:ascii="宋体" w:hAnsi="宋体" w:cs="宋体"/>
                <w:color w:val="auto"/>
                <w:kern w:val="2"/>
                <w:sz w:val="24"/>
                <w:szCs w:val="24"/>
                <w:highlight w:val="none"/>
              </w:rPr>
              <w:t>否</w:t>
            </w:r>
          </w:p>
        </w:tc>
      </w:tr>
      <w:tr w14:paraId="06088FB3">
        <w:tblPrEx>
          <w:tblCellMar>
            <w:top w:w="0" w:type="dxa"/>
            <w:left w:w="0" w:type="dxa"/>
            <w:bottom w:w="0" w:type="dxa"/>
            <w:right w:w="0" w:type="dxa"/>
          </w:tblCellMar>
        </w:tblPrEx>
        <w:trPr>
          <w:trHeight w:val="909"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033028B2">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8.2</w:t>
            </w:r>
          </w:p>
        </w:tc>
        <w:tc>
          <w:tcPr>
            <w:tcW w:w="2024" w:type="dxa"/>
            <w:tcBorders>
              <w:top w:val="single" w:color="auto" w:sz="8" w:space="0"/>
              <w:left w:val="nil"/>
              <w:bottom w:val="single" w:color="auto" w:sz="8" w:space="0"/>
              <w:right w:val="single" w:color="auto" w:sz="8" w:space="0"/>
            </w:tcBorders>
            <w:vAlign w:val="center"/>
          </w:tcPr>
          <w:p w14:paraId="687BE33B">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中标公告媒介及期限</w:t>
            </w:r>
          </w:p>
        </w:tc>
        <w:tc>
          <w:tcPr>
            <w:tcW w:w="6799" w:type="dxa"/>
            <w:tcBorders>
              <w:top w:val="single" w:color="auto" w:sz="8" w:space="0"/>
              <w:left w:val="nil"/>
              <w:bottom w:val="single" w:color="auto" w:sz="8" w:space="0"/>
              <w:right w:val="single" w:color="auto" w:sz="8" w:space="0"/>
            </w:tcBorders>
            <w:vAlign w:val="center"/>
          </w:tcPr>
          <w:p w14:paraId="30636BB9">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公告媒介：同发布招标公告的媒介</w:t>
            </w:r>
          </w:p>
          <w:p w14:paraId="136287DC">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u w:val="single"/>
              </w:rPr>
            </w:pPr>
            <w:r>
              <w:rPr>
                <w:rFonts w:hint="eastAsia" w:ascii="宋体" w:hAnsi="宋体" w:cs="宋体"/>
                <w:color w:val="auto"/>
                <w:kern w:val="2"/>
                <w:sz w:val="24"/>
                <w:szCs w:val="24"/>
                <w:highlight w:val="none"/>
              </w:rPr>
              <w:t>公告期限：1个工作日</w:t>
            </w:r>
          </w:p>
        </w:tc>
      </w:tr>
      <w:tr w14:paraId="5AEA13FF">
        <w:tblPrEx>
          <w:tblCellMar>
            <w:top w:w="0" w:type="dxa"/>
            <w:left w:w="0" w:type="dxa"/>
            <w:bottom w:w="0" w:type="dxa"/>
            <w:right w:w="0" w:type="dxa"/>
          </w:tblCellMar>
        </w:tblPrEx>
        <w:trPr>
          <w:trHeight w:val="591"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6EEC34BA">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8.4.1</w:t>
            </w:r>
          </w:p>
        </w:tc>
        <w:tc>
          <w:tcPr>
            <w:tcW w:w="2024" w:type="dxa"/>
            <w:tcBorders>
              <w:top w:val="single" w:color="auto" w:sz="8" w:space="0"/>
              <w:left w:val="nil"/>
              <w:bottom w:val="single" w:color="auto" w:sz="8" w:space="0"/>
              <w:right w:val="single" w:color="auto" w:sz="8" w:space="0"/>
            </w:tcBorders>
            <w:vAlign w:val="center"/>
          </w:tcPr>
          <w:p w14:paraId="394F176D">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履约保证金</w:t>
            </w:r>
          </w:p>
        </w:tc>
        <w:tc>
          <w:tcPr>
            <w:tcW w:w="6799" w:type="dxa"/>
            <w:tcBorders>
              <w:top w:val="single" w:color="auto" w:sz="8" w:space="0"/>
              <w:left w:val="nil"/>
              <w:bottom w:val="single" w:color="auto" w:sz="8" w:space="0"/>
              <w:right w:val="single" w:color="auto" w:sz="8" w:space="0"/>
            </w:tcBorders>
            <w:vAlign w:val="center"/>
          </w:tcPr>
          <w:p w14:paraId="613AA423">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不要求</w:t>
            </w:r>
          </w:p>
        </w:tc>
      </w:tr>
      <w:tr w14:paraId="0C5A3B48">
        <w:tblPrEx>
          <w:tblCellMar>
            <w:top w:w="0" w:type="dxa"/>
            <w:left w:w="0" w:type="dxa"/>
            <w:bottom w:w="0" w:type="dxa"/>
            <w:right w:w="0" w:type="dxa"/>
          </w:tblCellMar>
        </w:tblPrEx>
        <w:trPr>
          <w:trHeight w:val="634"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79F4F1F2">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12</w:t>
            </w:r>
          </w:p>
        </w:tc>
        <w:tc>
          <w:tcPr>
            <w:tcW w:w="8823" w:type="dxa"/>
            <w:gridSpan w:val="2"/>
            <w:tcBorders>
              <w:top w:val="single" w:color="auto" w:sz="8" w:space="0"/>
              <w:left w:val="nil"/>
              <w:bottom w:val="single" w:color="auto" w:sz="8" w:space="0"/>
              <w:right w:val="single" w:color="auto" w:sz="8" w:space="0"/>
            </w:tcBorders>
            <w:vAlign w:val="center"/>
          </w:tcPr>
          <w:p w14:paraId="63596C01">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b/>
                <w:bCs/>
                <w:color w:val="auto"/>
                <w:kern w:val="2"/>
                <w:sz w:val="24"/>
                <w:szCs w:val="24"/>
                <w:highlight w:val="none"/>
              </w:rPr>
              <w:t>需要补充的其他内容</w:t>
            </w:r>
          </w:p>
        </w:tc>
      </w:tr>
      <w:tr w14:paraId="198411DB">
        <w:tblPrEx>
          <w:tblCellMar>
            <w:top w:w="0" w:type="dxa"/>
            <w:left w:w="0" w:type="dxa"/>
            <w:bottom w:w="0" w:type="dxa"/>
            <w:right w:w="0" w:type="dxa"/>
          </w:tblCellMar>
        </w:tblPrEx>
        <w:trPr>
          <w:trHeight w:val="828"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66B3E3E3">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12.1</w:t>
            </w:r>
          </w:p>
        </w:tc>
        <w:tc>
          <w:tcPr>
            <w:tcW w:w="2024" w:type="dxa"/>
            <w:tcBorders>
              <w:top w:val="single" w:color="auto" w:sz="8" w:space="0"/>
              <w:left w:val="nil"/>
              <w:bottom w:val="single" w:color="auto" w:sz="8" w:space="0"/>
              <w:right w:val="single" w:color="auto" w:sz="8" w:space="0"/>
            </w:tcBorders>
            <w:vAlign w:val="center"/>
          </w:tcPr>
          <w:p w14:paraId="74FFA16E">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评标方法</w:t>
            </w:r>
          </w:p>
        </w:tc>
        <w:tc>
          <w:tcPr>
            <w:tcW w:w="6799" w:type="dxa"/>
            <w:tcBorders>
              <w:top w:val="single" w:color="auto" w:sz="8" w:space="0"/>
              <w:left w:val="nil"/>
              <w:bottom w:val="single" w:color="auto" w:sz="8" w:space="0"/>
              <w:right w:val="single" w:color="auto" w:sz="8" w:space="0"/>
            </w:tcBorders>
            <w:vAlign w:val="center"/>
          </w:tcPr>
          <w:p w14:paraId="2351A66D">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综合评分法</w:t>
            </w:r>
          </w:p>
        </w:tc>
      </w:tr>
      <w:tr w14:paraId="4CDC44C9">
        <w:tblPrEx>
          <w:tblCellMar>
            <w:top w:w="0" w:type="dxa"/>
            <w:left w:w="0" w:type="dxa"/>
            <w:bottom w:w="0" w:type="dxa"/>
            <w:right w:w="0" w:type="dxa"/>
          </w:tblCellMar>
        </w:tblPrEx>
        <w:trPr>
          <w:trHeight w:val="1840"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6522C29C">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12.2</w:t>
            </w:r>
          </w:p>
        </w:tc>
        <w:tc>
          <w:tcPr>
            <w:tcW w:w="2024" w:type="dxa"/>
            <w:tcBorders>
              <w:top w:val="single" w:color="auto" w:sz="8" w:space="0"/>
              <w:left w:val="nil"/>
              <w:bottom w:val="single" w:color="auto" w:sz="8" w:space="0"/>
              <w:right w:val="single" w:color="auto" w:sz="8" w:space="0"/>
            </w:tcBorders>
            <w:vAlign w:val="center"/>
          </w:tcPr>
          <w:p w14:paraId="11D41EC4">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追加合同金额</w:t>
            </w:r>
          </w:p>
        </w:tc>
        <w:tc>
          <w:tcPr>
            <w:tcW w:w="6799" w:type="dxa"/>
            <w:tcBorders>
              <w:top w:val="single" w:color="auto" w:sz="8" w:space="0"/>
              <w:left w:val="nil"/>
              <w:bottom w:val="single" w:color="auto" w:sz="8" w:space="0"/>
              <w:right w:val="single" w:color="auto" w:sz="8" w:space="0"/>
            </w:tcBorders>
            <w:vAlign w:val="center"/>
          </w:tcPr>
          <w:p w14:paraId="4D2EBB4E">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sz w:val="24"/>
                <w:szCs w:val="24"/>
                <w:highlight w:val="none"/>
              </w:rPr>
              <w:t>政府采购合同履行中，采购人需追加与合同标的相同的服务的，</w:t>
            </w:r>
            <w:r>
              <w:rPr>
                <w:rFonts w:hint="eastAsia" w:ascii="宋体" w:hAnsi="宋体" w:cs="宋体"/>
                <w:color w:val="auto"/>
                <w:sz w:val="24"/>
                <w:highlight w:val="none"/>
              </w:rPr>
              <w:t>在不改变合同其他条款的前提下，可以与中标投标人签订补充合同，但所有补充合同的采购金额变更不得超过原合同采购金额的10%，其中金额增加需办理合同追加手续。</w:t>
            </w:r>
          </w:p>
        </w:tc>
      </w:tr>
      <w:tr w14:paraId="07CC79DB">
        <w:tblPrEx>
          <w:tblCellMar>
            <w:top w:w="0" w:type="dxa"/>
            <w:left w:w="0" w:type="dxa"/>
            <w:bottom w:w="0" w:type="dxa"/>
            <w:right w:w="0" w:type="dxa"/>
          </w:tblCellMar>
        </w:tblPrEx>
        <w:trPr>
          <w:trHeight w:val="334"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0167B39F">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olor w:val="auto"/>
                <w:kern w:val="2"/>
                <w:sz w:val="24"/>
                <w:szCs w:val="24"/>
                <w:highlight w:val="none"/>
              </w:rPr>
              <w:t>12.3</w:t>
            </w:r>
          </w:p>
        </w:tc>
        <w:tc>
          <w:tcPr>
            <w:tcW w:w="2024" w:type="dxa"/>
            <w:tcBorders>
              <w:top w:val="single" w:color="auto" w:sz="8" w:space="0"/>
              <w:left w:val="nil"/>
              <w:bottom w:val="single" w:color="auto" w:sz="8" w:space="0"/>
              <w:right w:val="single" w:color="auto" w:sz="8" w:space="0"/>
            </w:tcBorders>
            <w:vAlign w:val="center"/>
          </w:tcPr>
          <w:p w14:paraId="1AF3F9A8">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信用查询具体要求</w:t>
            </w:r>
          </w:p>
        </w:tc>
        <w:tc>
          <w:tcPr>
            <w:tcW w:w="6799" w:type="dxa"/>
            <w:tcBorders>
              <w:top w:val="single" w:color="auto" w:sz="8" w:space="0"/>
              <w:left w:val="nil"/>
              <w:bottom w:val="single" w:color="auto" w:sz="8" w:space="0"/>
              <w:right w:val="single" w:color="auto" w:sz="8" w:space="0"/>
            </w:tcBorders>
            <w:vAlign w:val="center"/>
          </w:tcPr>
          <w:p w14:paraId="08FFE3A5">
            <w:pPr>
              <w:keepNext w:val="0"/>
              <w:keepLines w:val="0"/>
              <w:pageBreakBefore w:val="0"/>
              <w:widowControl w:val="0"/>
              <w:kinsoku/>
              <w:wordWrap/>
              <w:overflowPunct/>
              <w:bidi w:val="0"/>
              <w:adjustRightInd/>
              <w:snapToGrid/>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本项目将执行在政府采购活动中查询及使用信用记录的规定，具体要求为：</w:t>
            </w:r>
          </w:p>
          <w:p w14:paraId="03ECBAD6">
            <w:pPr>
              <w:keepNext w:val="0"/>
              <w:keepLines w:val="0"/>
              <w:pageBreakBefore w:val="0"/>
              <w:widowControl w:val="0"/>
              <w:kinsoku/>
              <w:wordWrap/>
              <w:overflowPunct/>
              <w:bidi w:val="0"/>
              <w:adjustRightInd/>
              <w:snapToGrid/>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投标人应在“信用中国”网站(www.creditchina.gov.cn)未被列入失信被执行人记录(按网站要求链接到中国执行信息网(http：//zxgk.court.gov.cn/shixin/)查询)、重大税收违法失信主体且在中国政府采购网(www.ccgp.gov.cn)没有政府采购严重违法失信行为记录(被禁止在一定期限内参加政府采购活动但期限届满的除外)。(采购人、采购代理机构通过“信用中国网”、“中国执行信息网”、“中国政府采购网”等渠道查询相关主体信用记录)；</w:t>
            </w:r>
          </w:p>
          <w:p w14:paraId="09D47315">
            <w:pPr>
              <w:keepNext w:val="0"/>
              <w:keepLines w:val="0"/>
              <w:pageBreakBefore w:val="0"/>
              <w:widowControl w:val="0"/>
              <w:kinsoku/>
              <w:wordWrap/>
              <w:overflowPunct/>
              <w:bidi w:val="0"/>
              <w:adjustRightInd/>
              <w:snapToGrid/>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（2）信用信息查询的截止时点：投标截止时间当天评标前；</w:t>
            </w:r>
          </w:p>
          <w:p w14:paraId="031794C8">
            <w:pPr>
              <w:keepNext w:val="0"/>
              <w:keepLines w:val="0"/>
              <w:pageBreakBefore w:val="0"/>
              <w:widowControl w:val="0"/>
              <w:kinsoku/>
              <w:wordWrap/>
              <w:overflowPunct/>
              <w:bidi w:val="0"/>
              <w:adjustRightInd/>
              <w:snapToGrid/>
              <w:spacing w:line="400" w:lineRule="exact"/>
              <w:textAlignment w:val="auto"/>
              <w:rPr>
                <w:rFonts w:ascii="宋体" w:hAnsi="宋体"/>
                <w:color w:val="auto"/>
                <w:sz w:val="24"/>
                <w:szCs w:val="24"/>
                <w:highlight w:val="none"/>
              </w:rPr>
            </w:pPr>
            <w:r>
              <w:rPr>
                <w:rFonts w:hint="eastAsia" w:ascii="宋体" w:hAnsi="宋体" w:cs="宋体"/>
                <w:color w:val="auto"/>
                <w:sz w:val="24"/>
                <w:szCs w:val="24"/>
                <w:highlight w:val="none"/>
              </w:rPr>
              <w:t>（3）信用信息查询渠道：“信用中国”网、“中国政府采购网”；</w:t>
            </w:r>
          </w:p>
          <w:p w14:paraId="230C4E20">
            <w:pPr>
              <w:keepNext w:val="0"/>
              <w:keepLines w:val="0"/>
              <w:pageBreakBefore w:val="0"/>
              <w:widowControl w:val="0"/>
              <w:kinsoku/>
              <w:wordWrap/>
              <w:overflowPunct/>
              <w:bidi w:val="0"/>
              <w:adjustRightInd/>
              <w:snapToGrid/>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（4）信用信息查询记录和证据留存具体方式：采购人、采购代理机构将经查询存在不良信用记录的潜在投标人查询结果证明材料作为查询记录和证据，与其他采购文件一并保存；</w:t>
            </w:r>
          </w:p>
          <w:p w14:paraId="62F47D50">
            <w:pPr>
              <w:keepNext w:val="0"/>
              <w:keepLines w:val="0"/>
              <w:pageBreakBefore w:val="0"/>
              <w:widowControl w:val="0"/>
              <w:kinsoku/>
              <w:wordWrap/>
              <w:overflowPunct/>
              <w:bidi w:val="0"/>
              <w:adjustRightInd/>
              <w:snapToGrid/>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5）信用信息的使用规则：本政府采购项目的投标人在信用信息查询截止时点（含）之前被列入失信被执行人、重大税收违法失信主体、政府采购严重违法失信行为记录名单及其他不符合《中华人民共和国政府采购法》第二十二条规定条件的投标人，其投标无效；</w:t>
            </w:r>
          </w:p>
          <w:p w14:paraId="2B35A81F">
            <w:pPr>
              <w:pStyle w:val="11"/>
              <w:keepNext w:val="0"/>
              <w:keepLines w:val="0"/>
              <w:pageBreakBefore w:val="0"/>
              <w:kinsoku/>
              <w:wordWrap/>
              <w:overflowPunct/>
              <w:bidi w:val="0"/>
              <w:adjustRightInd/>
              <w:snapToGrid/>
              <w:spacing w:line="400" w:lineRule="exact"/>
              <w:textAlignment w:val="auto"/>
              <w:rPr>
                <w:rFonts w:hint="eastAsia"/>
                <w:color w:val="auto"/>
                <w:szCs w:val="21"/>
                <w:highlight w:val="none"/>
              </w:rPr>
            </w:pPr>
            <w:r>
              <w:rPr>
                <w:rFonts w:hint="eastAsia"/>
                <w:color w:val="auto"/>
                <w:highlight w:val="none"/>
              </w:rPr>
              <w:t>(6)采购人、采购代理机构通过“信用中国”网、“中国政府采购网”等渠道查询相关主体信用记录，若投标人存在被列入失信被执行人、重大税收违法失信主体、政府采购严重违法失信行为记录名单，则投标无效。</w:t>
            </w:r>
          </w:p>
        </w:tc>
      </w:tr>
      <w:tr w14:paraId="5BAD065A">
        <w:tblPrEx>
          <w:tblCellMar>
            <w:top w:w="0" w:type="dxa"/>
            <w:left w:w="0" w:type="dxa"/>
            <w:bottom w:w="0" w:type="dxa"/>
            <w:right w:w="0" w:type="dxa"/>
          </w:tblCellMar>
        </w:tblPrEx>
        <w:trPr>
          <w:trHeight w:val="334" w:hRule="atLeast"/>
          <w:jc w:val="center"/>
        </w:trPr>
        <w:tc>
          <w:tcPr>
            <w:tcW w:w="1059" w:type="dxa"/>
            <w:tcBorders>
              <w:top w:val="single" w:color="auto" w:sz="8" w:space="0"/>
              <w:left w:val="single" w:color="auto" w:sz="8" w:space="0"/>
              <w:bottom w:val="single" w:color="auto" w:sz="8" w:space="0"/>
              <w:right w:val="single" w:color="auto" w:sz="8" w:space="0"/>
            </w:tcBorders>
            <w:vAlign w:val="center"/>
          </w:tcPr>
          <w:p w14:paraId="75A75A05">
            <w:pPr>
              <w:keepNext w:val="0"/>
              <w:keepLines w:val="0"/>
              <w:pageBreakBefore w:val="0"/>
              <w:kinsoku/>
              <w:wordWrap/>
              <w:overflowPunct/>
              <w:bidi w:val="0"/>
              <w:adjustRightInd/>
              <w:snapToGrid/>
              <w:spacing w:line="400" w:lineRule="exact"/>
              <w:jc w:val="center"/>
              <w:textAlignment w:val="auto"/>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12.4</w:t>
            </w:r>
          </w:p>
        </w:tc>
        <w:tc>
          <w:tcPr>
            <w:tcW w:w="2024" w:type="dxa"/>
            <w:tcBorders>
              <w:top w:val="single" w:color="auto" w:sz="8" w:space="0"/>
              <w:left w:val="nil"/>
              <w:bottom w:val="single" w:color="auto" w:sz="8" w:space="0"/>
              <w:right w:val="single" w:color="auto" w:sz="8" w:space="0"/>
            </w:tcBorders>
            <w:vAlign w:val="center"/>
          </w:tcPr>
          <w:p w14:paraId="4B072227">
            <w:pPr>
              <w:keepNext w:val="0"/>
              <w:keepLines w:val="0"/>
              <w:pageBreakBefore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olor w:val="auto"/>
                <w:kern w:val="2"/>
                <w:sz w:val="24"/>
                <w:szCs w:val="24"/>
                <w:highlight w:val="none"/>
              </w:rPr>
              <w:t>补充1</w:t>
            </w:r>
          </w:p>
        </w:tc>
        <w:tc>
          <w:tcPr>
            <w:tcW w:w="6799" w:type="dxa"/>
            <w:tcBorders>
              <w:top w:val="single" w:color="auto" w:sz="8" w:space="0"/>
              <w:left w:val="nil"/>
              <w:bottom w:val="single" w:color="auto" w:sz="8" w:space="0"/>
              <w:right w:val="single" w:color="auto" w:sz="8" w:space="0"/>
            </w:tcBorders>
            <w:vAlign w:val="center"/>
          </w:tcPr>
          <w:p w14:paraId="0C9293D1">
            <w:pPr>
              <w:keepNext w:val="0"/>
              <w:keepLines w:val="0"/>
              <w:pageBreakBefore w:val="0"/>
              <w:widowControl w:val="0"/>
              <w:kinsoku/>
              <w:wordWrap/>
              <w:overflowPunct/>
              <w:bidi w:val="0"/>
              <w:adjustRightInd/>
              <w:snapToGrid/>
              <w:spacing w:line="400" w:lineRule="exact"/>
              <w:textAlignment w:val="auto"/>
              <w:rPr>
                <w:rFonts w:hint="eastAsia" w:ascii="宋体" w:hAnsi="宋体" w:cs="宋体"/>
                <w:color w:val="auto"/>
                <w:kern w:val="2"/>
                <w:sz w:val="24"/>
                <w:szCs w:val="24"/>
                <w:highlight w:val="none"/>
              </w:rPr>
            </w:pPr>
            <w:r>
              <w:rPr>
                <w:rFonts w:hint="eastAsia" w:ascii="宋体" w:hAnsi="宋体" w:cs="宋体"/>
                <w:color w:val="auto"/>
                <w:sz w:val="24"/>
                <w:szCs w:val="24"/>
                <w:highlight w:val="none"/>
              </w:rPr>
              <w:t>中标人依据《政府采购促进中小企业发展管理办法》（财库〔2020〕46号）规定享受扶持政策获得政府采购合同的，小微企业不得将合同分包给大中型企业，中型企业不得将合同分包给大型企业。</w:t>
            </w:r>
          </w:p>
        </w:tc>
      </w:tr>
    </w:tbl>
    <w:p w14:paraId="3BE78B2A">
      <w:pPr>
        <w:rPr>
          <w:rFonts w:hint="eastAsia" w:ascii="宋体" w:hAnsi="宋体" w:cs="宋体"/>
          <w:color w:val="auto"/>
          <w:sz w:val="28"/>
          <w:szCs w:val="28"/>
          <w:highlight w:val="none"/>
        </w:rPr>
      </w:pPr>
      <w:bookmarkStart w:id="60" w:name="_Toc20589"/>
      <w:bookmarkEnd w:id="60"/>
      <w:bookmarkStart w:id="61" w:name="_Toc27064"/>
      <w:bookmarkEnd w:id="61"/>
      <w:bookmarkStart w:id="62" w:name="_Toc19039"/>
      <w:r>
        <w:rPr>
          <w:rFonts w:hint="eastAsia" w:ascii="宋体" w:hAnsi="宋体" w:cs="宋体"/>
          <w:color w:val="auto"/>
          <w:sz w:val="28"/>
          <w:szCs w:val="28"/>
          <w:highlight w:val="none"/>
        </w:rPr>
        <w:br w:type="page"/>
      </w:r>
    </w:p>
    <w:p w14:paraId="5C72DA13">
      <w:pPr>
        <w:pStyle w:val="3"/>
        <w:spacing w:before="0" w:after="0" w:line="360" w:lineRule="auto"/>
        <w:rPr>
          <w:rFonts w:hint="eastAsia" w:ascii="宋体" w:hAnsi="宋体" w:eastAsia="宋体" w:cs="宋体"/>
          <w:color w:val="auto"/>
          <w:sz w:val="28"/>
          <w:szCs w:val="28"/>
          <w:highlight w:val="none"/>
        </w:rPr>
      </w:pPr>
      <w:bookmarkStart w:id="63" w:name="_Toc14601"/>
      <w:r>
        <w:rPr>
          <w:rFonts w:hint="eastAsia" w:ascii="宋体" w:hAnsi="宋体" w:eastAsia="宋体" w:cs="宋体"/>
          <w:color w:val="auto"/>
          <w:sz w:val="28"/>
          <w:szCs w:val="28"/>
          <w:highlight w:val="none"/>
        </w:rPr>
        <w:t>1. 总则</w:t>
      </w:r>
      <w:bookmarkEnd w:id="62"/>
      <w:bookmarkEnd w:id="63"/>
    </w:p>
    <w:p w14:paraId="29CD4C21">
      <w:pPr>
        <w:spacing w:line="360" w:lineRule="auto"/>
        <w:rPr>
          <w:rFonts w:hint="eastAsia" w:ascii="宋体" w:hAnsi="宋体" w:cs="宋体"/>
          <w:b/>
          <w:color w:val="auto"/>
          <w:sz w:val="24"/>
          <w:szCs w:val="24"/>
          <w:highlight w:val="none"/>
        </w:rPr>
      </w:pPr>
      <w:bookmarkStart w:id="64" w:name="_Toc31335"/>
      <w:bookmarkEnd w:id="64"/>
      <w:bookmarkStart w:id="65" w:name="_Toc700"/>
      <w:r>
        <w:rPr>
          <w:rFonts w:hint="eastAsia" w:ascii="宋体" w:hAnsi="宋体" w:cs="宋体"/>
          <w:b/>
          <w:color w:val="auto"/>
          <w:sz w:val="24"/>
          <w:szCs w:val="24"/>
          <w:highlight w:val="none"/>
        </w:rPr>
        <w:t>1.1 项目概况</w:t>
      </w:r>
      <w:bookmarkEnd w:id="65"/>
    </w:p>
    <w:p w14:paraId="2E0B3EF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1.1.1根据《中华人民共和国政府采购法》《中华人民共和国政府采购法实施条例》《政府采购货物和服务招标投标管理办法》(财政部令第87号)等规定，本招标项目已具备招标条件，现对本项目进行招标。</w:t>
      </w:r>
    </w:p>
    <w:p w14:paraId="0F55615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1.1.2 采购人：见投标人须知前附表。</w:t>
      </w:r>
    </w:p>
    <w:p w14:paraId="05CFE39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1.1.3 采购代理机构：见投标人须知前附表。</w:t>
      </w:r>
    </w:p>
    <w:p w14:paraId="14A2BB9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1.1.4 项目名称：见投标人须知前附表。</w:t>
      </w:r>
    </w:p>
    <w:p w14:paraId="159695C6">
      <w:pPr>
        <w:spacing w:line="360" w:lineRule="auto"/>
        <w:rPr>
          <w:rFonts w:hint="eastAsia" w:ascii="宋体" w:hAnsi="宋体" w:cs="宋体"/>
          <w:b/>
          <w:color w:val="auto"/>
          <w:sz w:val="24"/>
          <w:szCs w:val="24"/>
          <w:highlight w:val="none"/>
        </w:rPr>
      </w:pPr>
      <w:bookmarkStart w:id="66" w:name="_Toc27395"/>
      <w:bookmarkEnd w:id="66"/>
      <w:bookmarkStart w:id="67" w:name="_Toc28747"/>
      <w:r>
        <w:rPr>
          <w:rFonts w:hint="eastAsia" w:ascii="宋体" w:hAnsi="宋体" w:cs="宋体"/>
          <w:b/>
          <w:color w:val="auto"/>
          <w:sz w:val="24"/>
          <w:szCs w:val="24"/>
          <w:highlight w:val="none"/>
        </w:rPr>
        <w:t>1.2 招标项目的资金情况</w:t>
      </w:r>
      <w:bookmarkEnd w:id="67"/>
    </w:p>
    <w:p w14:paraId="403B551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1.2.1 资金落实情况：见投标人须知前附表。</w:t>
      </w:r>
    </w:p>
    <w:p w14:paraId="5A28488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1.2.2 预算金额：见投标人须知前附表。</w:t>
      </w:r>
    </w:p>
    <w:p w14:paraId="4577D1D6">
      <w:pPr>
        <w:spacing w:line="360" w:lineRule="auto"/>
        <w:rPr>
          <w:rFonts w:hint="eastAsia" w:ascii="宋体" w:hAnsi="宋体" w:cs="宋体"/>
          <w:b/>
          <w:color w:val="auto"/>
          <w:sz w:val="24"/>
          <w:szCs w:val="24"/>
          <w:highlight w:val="none"/>
        </w:rPr>
      </w:pPr>
      <w:bookmarkStart w:id="68" w:name="_Toc16202"/>
      <w:bookmarkEnd w:id="68"/>
      <w:bookmarkStart w:id="69" w:name="_Toc16064"/>
      <w:bookmarkEnd w:id="69"/>
      <w:bookmarkStart w:id="70" w:name="_Toc9179"/>
      <w:r>
        <w:rPr>
          <w:rFonts w:hint="eastAsia" w:ascii="宋体" w:hAnsi="宋体" w:cs="宋体"/>
          <w:b/>
          <w:color w:val="auto"/>
          <w:sz w:val="24"/>
          <w:szCs w:val="24"/>
          <w:highlight w:val="none"/>
        </w:rPr>
        <w:t>1.3服务内容、合同履行期限、</w:t>
      </w:r>
      <w:bookmarkEnd w:id="70"/>
      <w:r>
        <w:rPr>
          <w:rFonts w:hint="eastAsia" w:ascii="宋体" w:hAnsi="宋体" w:cs="宋体"/>
          <w:b/>
          <w:color w:val="auto"/>
          <w:sz w:val="24"/>
          <w:szCs w:val="24"/>
          <w:highlight w:val="none"/>
        </w:rPr>
        <w:t>服务地点、服务方式</w:t>
      </w:r>
    </w:p>
    <w:p w14:paraId="208643D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1.3.1 服务内容：见投标人须知前附表。</w:t>
      </w:r>
    </w:p>
    <w:p w14:paraId="32027FA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1.3.2 合同履行期限：见投标人须知前附表。</w:t>
      </w:r>
    </w:p>
    <w:p w14:paraId="3CA2125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1.3.3 服务地点、服务方式：见投标人须知前附表。</w:t>
      </w:r>
    </w:p>
    <w:p w14:paraId="01522AAD">
      <w:pPr>
        <w:spacing w:line="360" w:lineRule="auto"/>
        <w:rPr>
          <w:rFonts w:hint="eastAsia" w:ascii="宋体" w:hAnsi="宋体" w:cs="宋体"/>
          <w:b/>
          <w:color w:val="auto"/>
          <w:sz w:val="24"/>
          <w:szCs w:val="24"/>
          <w:highlight w:val="none"/>
        </w:rPr>
      </w:pPr>
      <w:bookmarkStart w:id="71" w:name="_Toc17694"/>
      <w:bookmarkEnd w:id="71"/>
      <w:bookmarkStart w:id="72" w:name="_Toc10611"/>
      <w:r>
        <w:rPr>
          <w:rFonts w:hint="eastAsia" w:ascii="宋体" w:hAnsi="宋体" w:cs="宋体"/>
          <w:b/>
          <w:color w:val="auto"/>
          <w:sz w:val="24"/>
          <w:szCs w:val="24"/>
          <w:highlight w:val="none"/>
        </w:rPr>
        <w:t>1.4 投标人资格要求</w:t>
      </w:r>
      <w:bookmarkEnd w:id="72"/>
    </w:p>
    <w:p w14:paraId="456D16D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1.4.1 投标人应具备承担本项目的资格条件。</w:t>
      </w:r>
    </w:p>
    <w:p w14:paraId="0C793C34">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1.4.2 本项目不接受联合体招标。</w:t>
      </w:r>
    </w:p>
    <w:p w14:paraId="48238A80">
      <w:pPr>
        <w:spacing w:line="360" w:lineRule="auto"/>
        <w:rPr>
          <w:rFonts w:hint="eastAsia" w:ascii="宋体" w:hAnsi="宋体" w:cs="宋体"/>
          <w:b/>
          <w:color w:val="auto"/>
          <w:sz w:val="24"/>
          <w:szCs w:val="24"/>
          <w:highlight w:val="none"/>
        </w:rPr>
      </w:pPr>
      <w:bookmarkStart w:id="73" w:name="_Toc27960"/>
      <w:bookmarkEnd w:id="73"/>
      <w:bookmarkStart w:id="74" w:name="_Toc18144"/>
      <w:r>
        <w:rPr>
          <w:rFonts w:hint="eastAsia" w:ascii="宋体" w:hAnsi="宋体" w:cs="宋体"/>
          <w:b/>
          <w:color w:val="auto"/>
          <w:sz w:val="24"/>
          <w:szCs w:val="24"/>
          <w:highlight w:val="none"/>
        </w:rPr>
        <w:t>1.5 费用承担</w:t>
      </w:r>
      <w:bookmarkEnd w:id="74"/>
    </w:p>
    <w:p w14:paraId="3B09E85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投标人准备和参加投标活动发生的费用自理。</w:t>
      </w:r>
    </w:p>
    <w:p w14:paraId="39C72507">
      <w:pPr>
        <w:spacing w:line="360" w:lineRule="auto"/>
        <w:rPr>
          <w:rFonts w:hint="eastAsia" w:ascii="宋体" w:hAnsi="宋体" w:cs="宋体"/>
          <w:b/>
          <w:color w:val="auto"/>
          <w:sz w:val="24"/>
          <w:szCs w:val="24"/>
          <w:highlight w:val="none"/>
        </w:rPr>
      </w:pPr>
      <w:bookmarkStart w:id="75" w:name="_Toc6230"/>
      <w:bookmarkEnd w:id="75"/>
      <w:bookmarkStart w:id="76" w:name="_Toc16680"/>
      <w:r>
        <w:rPr>
          <w:rFonts w:hint="eastAsia" w:ascii="宋体" w:hAnsi="宋体" w:cs="宋体"/>
          <w:b/>
          <w:color w:val="auto"/>
          <w:sz w:val="24"/>
          <w:szCs w:val="24"/>
          <w:highlight w:val="none"/>
        </w:rPr>
        <w:t>1.6 保密</w:t>
      </w:r>
      <w:bookmarkEnd w:id="76"/>
    </w:p>
    <w:p w14:paraId="08A2D6E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参与招标投标活动的各方应对招标文件和投标文件中的商业和技术等秘密保密等内容承担相应的法律责任。</w:t>
      </w:r>
    </w:p>
    <w:p w14:paraId="57BE952E">
      <w:pPr>
        <w:spacing w:line="360" w:lineRule="auto"/>
        <w:rPr>
          <w:rFonts w:hint="eastAsia" w:ascii="宋体" w:hAnsi="宋体" w:cs="宋体"/>
          <w:b/>
          <w:color w:val="auto"/>
          <w:sz w:val="24"/>
          <w:szCs w:val="24"/>
          <w:highlight w:val="none"/>
        </w:rPr>
      </w:pPr>
      <w:bookmarkStart w:id="77" w:name="_Toc31781"/>
      <w:bookmarkEnd w:id="77"/>
      <w:bookmarkStart w:id="78" w:name="_Toc787"/>
      <w:r>
        <w:rPr>
          <w:rFonts w:hint="eastAsia" w:ascii="宋体" w:hAnsi="宋体" w:cs="宋体"/>
          <w:b/>
          <w:color w:val="auto"/>
          <w:sz w:val="24"/>
          <w:szCs w:val="24"/>
          <w:highlight w:val="none"/>
        </w:rPr>
        <w:t>1.7 语言文字</w:t>
      </w:r>
      <w:bookmarkEnd w:id="78"/>
    </w:p>
    <w:p w14:paraId="5E10CCC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招标投标文件使用的语言文字为中文。专用术语使用外文的，应附有中文注释。</w:t>
      </w:r>
    </w:p>
    <w:p w14:paraId="16CBC75C">
      <w:pPr>
        <w:spacing w:line="360" w:lineRule="auto"/>
        <w:rPr>
          <w:rFonts w:hint="eastAsia" w:ascii="宋体" w:hAnsi="宋体" w:cs="宋体"/>
          <w:b/>
          <w:color w:val="auto"/>
          <w:sz w:val="24"/>
          <w:szCs w:val="24"/>
          <w:highlight w:val="none"/>
        </w:rPr>
      </w:pPr>
      <w:bookmarkStart w:id="79" w:name="_Toc29423"/>
      <w:bookmarkEnd w:id="79"/>
      <w:bookmarkStart w:id="80" w:name="_Toc29116"/>
      <w:r>
        <w:rPr>
          <w:rFonts w:hint="eastAsia" w:ascii="宋体" w:hAnsi="宋体" w:cs="宋体"/>
          <w:b/>
          <w:color w:val="auto"/>
          <w:sz w:val="24"/>
          <w:szCs w:val="24"/>
          <w:highlight w:val="none"/>
        </w:rPr>
        <w:t>1.8 计量单位</w:t>
      </w:r>
      <w:bookmarkEnd w:id="80"/>
    </w:p>
    <w:p w14:paraId="653D7AB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所有计量均采用中华人民共和国法定计量单位。</w:t>
      </w:r>
    </w:p>
    <w:p w14:paraId="340F17D3">
      <w:pPr>
        <w:spacing w:line="360" w:lineRule="auto"/>
        <w:rPr>
          <w:rFonts w:hint="eastAsia" w:ascii="宋体" w:hAnsi="宋体" w:cs="宋体"/>
          <w:b/>
          <w:color w:val="auto"/>
          <w:sz w:val="24"/>
          <w:szCs w:val="24"/>
          <w:highlight w:val="none"/>
        </w:rPr>
      </w:pPr>
      <w:bookmarkStart w:id="81" w:name="_Toc247527563"/>
      <w:bookmarkEnd w:id="81"/>
      <w:bookmarkStart w:id="82" w:name="_Toc296602429"/>
      <w:bookmarkEnd w:id="82"/>
      <w:bookmarkStart w:id="83" w:name="_Toc152045539"/>
      <w:bookmarkEnd w:id="83"/>
      <w:bookmarkStart w:id="84" w:name="_Toc247513962"/>
      <w:bookmarkEnd w:id="84"/>
      <w:bookmarkStart w:id="85" w:name="_Toc152042315"/>
      <w:bookmarkEnd w:id="85"/>
      <w:bookmarkStart w:id="86" w:name="_Toc29812"/>
      <w:bookmarkEnd w:id="86"/>
      <w:bookmarkStart w:id="87" w:name="_Toc247592876"/>
      <w:bookmarkEnd w:id="87"/>
      <w:bookmarkStart w:id="88" w:name="_Toc144974507"/>
      <w:bookmarkEnd w:id="88"/>
      <w:bookmarkStart w:id="89" w:name="_Toc29408"/>
      <w:r>
        <w:rPr>
          <w:rFonts w:hint="eastAsia" w:ascii="宋体" w:hAnsi="宋体" w:cs="宋体"/>
          <w:b/>
          <w:color w:val="auto"/>
          <w:sz w:val="24"/>
          <w:szCs w:val="24"/>
          <w:highlight w:val="none"/>
        </w:rPr>
        <w:t>1.9 现场</w:t>
      </w:r>
      <w:bookmarkEnd w:id="89"/>
      <w:r>
        <w:rPr>
          <w:rFonts w:hint="eastAsia" w:ascii="宋体" w:hAnsi="宋体" w:cs="宋体"/>
          <w:b/>
          <w:color w:val="auto"/>
          <w:sz w:val="24"/>
          <w:szCs w:val="24"/>
          <w:highlight w:val="none"/>
        </w:rPr>
        <w:t>考察</w:t>
      </w:r>
    </w:p>
    <w:p w14:paraId="62D83EE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1.9.1 投标人须知前附表规定组织现场考察的，采购人按投标人须知前附表规定的时间、地点组织投标人考察项目现场。 </w:t>
      </w:r>
    </w:p>
    <w:p w14:paraId="5C39572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1.9.2 投标人考察现场发生的费用自理。</w:t>
      </w:r>
    </w:p>
    <w:p w14:paraId="3B547783">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1.9.3 除采购人的原因外，投标人自行负责在考察现场中所发生的人员伤亡和财产损失。</w:t>
      </w:r>
    </w:p>
    <w:p w14:paraId="2D55034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1.9.4 采购人在考察现场中介绍的项目场地和相关的周边环境情况，供投标人在编制投标文件时参考，采购人不对投标人据此作出的判断和决策负责。</w:t>
      </w:r>
    </w:p>
    <w:p w14:paraId="063E363A">
      <w:pPr>
        <w:pStyle w:val="3"/>
        <w:spacing w:before="0" w:after="0" w:line="360" w:lineRule="auto"/>
        <w:rPr>
          <w:rFonts w:hint="eastAsia" w:ascii="宋体" w:hAnsi="宋体" w:eastAsia="宋体" w:cs="宋体"/>
          <w:color w:val="auto"/>
          <w:sz w:val="28"/>
          <w:szCs w:val="28"/>
          <w:highlight w:val="none"/>
        </w:rPr>
      </w:pPr>
      <w:bookmarkStart w:id="90" w:name="_Toc587"/>
      <w:bookmarkEnd w:id="90"/>
      <w:bookmarkStart w:id="91" w:name="_Toc31848"/>
      <w:bookmarkEnd w:id="91"/>
      <w:bookmarkStart w:id="92" w:name="_Toc32012"/>
      <w:bookmarkEnd w:id="92"/>
      <w:bookmarkStart w:id="93" w:name="_Toc31795"/>
      <w:bookmarkEnd w:id="93"/>
      <w:bookmarkStart w:id="94" w:name="_Toc30885"/>
      <w:bookmarkStart w:id="95" w:name="_Toc31733"/>
      <w:r>
        <w:rPr>
          <w:rFonts w:hint="eastAsia" w:ascii="宋体" w:hAnsi="宋体" w:eastAsia="宋体" w:cs="宋体"/>
          <w:color w:val="auto"/>
          <w:sz w:val="28"/>
          <w:szCs w:val="28"/>
          <w:highlight w:val="none"/>
        </w:rPr>
        <w:t>2. 招标文件</w:t>
      </w:r>
      <w:bookmarkEnd w:id="94"/>
      <w:bookmarkEnd w:id="95"/>
    </w:p>
    <w:p w14:paraId="3CA84E07">
      <w:pPr>
        <w:spacing w:line="360" w:lineRule="auto"/>
        <w:rPr>
          <w:rFonts w:hint="eastAsia" w:ascii="宋体" w:hAnsi="宋体" w:cs="宋体"/>
          <w:b/>
          <w:color w:val="auto"/>
          <w:sz w:val="24"/>
          <w:szCs w:val="24"/>
          <w:highlight w:val="none"/>
        </w:rPr>
      </w:pPr>
      <w:bookmarkStart w:id="96" w:name="_Toc21536"/>
      <w:bookmarkEnd w:id="96"/>
      <w:bookmarkStart w:id="97" w:name="_Toc16596"/>
      <w:r>
        <w:rPr>
          <w:rFonts w:hint="eastAsia" w:ascii="宋体" w:hAnsi="宋体" w:cs="宋体"/>
          <w:b/>
          <w:color w:val="auto"/>
          <w:sz w:val="24"/>
          <w:szCs w:val="24"/>
          <w:highlight w:val="none"/>
        </w:rPr>
        <w:t>2.1 招标文件的组成</w:t>
      </w:r>
      <w:bookmarkEnd w:id="97"/>
    </w:p>
    <w:p w14:paraId="28BF5B4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本招标文件包括：</w:t>
      </w:r>
    </w:p>
    <w:p w14:paraId="6DF8CB11">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(1)招标公告；</w:t>
      </w:r>
    </w:p>
    <w:p w14:paraId="138E84EC">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(2)投标人须知；</w:t>
      </w:r>
    </w:p>
    <w:p w14:paraId="7275C32F">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(3)资格审查；</w:t>
      </w:r>
    </w:p>
    <w:p w14:paraId="2993BB58">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(4)评标办法；</w:t>
      </w:r>
    </w:p>
    <w:p w14:paraId="5262ECFF">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(5)合同条款及格式；</w:t>
      </w:r>
    </w:p>
    <w:p w14:paraId="7E6880EA">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(6)服务内容及要求；</w:t>
      </w:r>
    </w:p>
    <w:p w14:paraId="12B5D0EE">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(7)投标文件格式；</w:t>
      </w:r>
    </w:p>
    <w:p w14:paraId="689525D0">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(8)投标人须知前附表规定的其他材料。</w:t>
      </w:r>
    </w:p>
    <w:p w14:paraId="0248B27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根据本章第2.2 款对招标文件所作的澄清、修改，构成招标文件的组成部分。</w:t>
      </w:r>
    </w:p>
    <w:p w14:paraId="310920BC">
      <w:pPr>
        <w:spacing w:line="360" w:lineRule="auto"/>
        <w:rPr>
          <w:rFonts w:hint="eastAsia" w:ascii="宋体" w:hAnsi="宋体" w:cs="宋体"/>
          <w:b/>
          <w:color w:val="auto"/>
          <w:sz w:val="24"/>
          <w:szCs w:val="24"/>
          <w:highlight w:val="none"/>
        </w:rPr>
      </w:pPr>
      <w:bookmarkStart w:id="98" w:name="_Toc23003"/>
      <w:bookmarkEnd w:id="98"/>
      <w:bookmarkStart w:id="99" w:name="_Toc520356148"/>
      <w:bookmarkStart w:id="100" w:name="_Toc515904805"/>
      <w:bookmarkStart w:id="101" w:name="_Toc26044"/>
      <w:bookmarkStart w:id="102" w:name="_Toc532473456"/>
      <w:bookmarkStart w:id="103" w:name="_Toc9232"/>
      <w:bookmarkStart w:id="104" w:name="_Toc2582270"/>
      <w:r>
        <w:rPr>
          <w:rFonts w:hint="eastAsia" w:ascii="宋体" w:hAnsi="宋体" w:cs="宋体"/>
          <w:b/>
          <w:color w:val="auto"/>
          <w:sz w:val="24"/>
          <w:szCs w:val="24"/>
          <w:highlight w:val="none"/>
        </w:rPr>
        <w:t>2.2 招标文件的澄清</w:t>
      </w:r>
      <w:bookmarkEnd w:id="99"/>
      <w:bookmarkEnd w:id="100"/>
      <w:r>
        <w:rPr>
          <w:rFonts w:hint="eastAsia" w:ascii="宋体" w:hAnsi="宋体" w:cs="宋体"/>
          <w:b/>
          <w:color w:val="auto"/>
          <w:sz w:val="24"/>
          <w:szCs w:val="24"/>
          <w:highlight w:val="none"/>
        </w:rPr>
        <w:t>与修改</w:t>
      </w:r>
      <w:bookmarkEnd w:id="101"/>
      <w:bookmarkEnd w:id="102"/>
      <w:bookmarkEnd w:id="103"/>
      <w:bookmarkEnd w:id="104"/>
    </w:p>
    <w:p w14:paraId="24D9C7D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2.2.1投标人应仔细阅读和检查招标文件的全部内容。如发现缺页或附件不全，应及时向采购代理机构提出，以便补齐。</w:t>
      </w:r>
    </w:p>
    <w:p w14:paraId="16ADD35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2.2.2采购人、采购代理机构可以对已发出的招标文件等进行必要的澄清或者修改。澄清或者修改的内容为招标文件的组成部分。澄清或者修改应当在原公告发布媒体上发布更正公告。</w:t>
      </w:r>
    </w:p>
    <w:p w14:paraId="4AABAAF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2.2.3招标文件的澄清或者修改以投标人须知前附表规定的形式发出，但不指明澄清问题的来源。澄清或者修改发出的时间距本章第4.2.1项规定的投标截止时间不足15日的，并且澄清或者修改内容可能影响投标文件编制的，将相应延长投标截止时间。</w:t>
      </w:r>
    </w:p>
    <w:p w14:paraId="0BD071DC">
      <w:pPr>
        <w:spacing w:line="360" w:lineRule="auto"/>
        <w:ind w:firstLine="480" w:firstLineChars="200"/>
        <w:rPr>
          <w:rFonts w:hint="eastAsia" w:ascii="宋体" w:hAnsi="宋体" w:cs="宋体"/>
          <w:color w:val="auto"/>
          <w:sz w:val="24"/>
          <w:szCs w:val="24"/>
          <w:highlight w:val="none"/>
        </w:rPr>
      </w:pPr>
      <w:r>
        <w:rPr>
          <w:rFonts w:hint="eastAsia" w:ascii="宋体" w:hAnsi="宋体"/>
          <w:color w:val="auto"/>
          <w:sz w:val="24"/>
          <w:szCs w:val="24"/>
          <w:highlight w:val="none"/>
        </w:rPr>
        <w:t>2.2.4招标文件中有不一致的，有澄清的部分以最终的澄清更正内容为准；未澄清的，以投标人须知前附表为准；投标人须知前附表不涉及的内容，以编排在后的最后描述为准。</w:t>
      </w:r>
    </w:p>
    <w:p w14:paraId="0013A642">
      <w:pPr>
        <w:pStyle w:val="3"/>
        <w:spacing w:before="0" w:after="0" w:line="360" w:lineRule="auto"/>
        <w:rPr>
          <w:rFonts w:hint="eastAsia" w:ascii="宋体" w:hAnsi="宋体" w:eastAsia="宋体" w:cs="宋体"/>
          <w:color w:val="auto"/>
          <w:sz w:val="28"/>
          <w:szCs w:val="28"/>
          <w:highlight w:val="none"/>
        </w:rPr>
      </w:pPr>
      <w:bookmarkStart w:id="105" w:name="_Toc16663"/>
      <w:bookmarkEnd w:id="105"/>
      <w:bookmarkStart w:id="106" w:name="_Toc24916"/>
      <w:bookmarkEnd w:id="106"/>
      <w:bookmarkStart w:id="107" w:name="_Toc29741"/>
      <w:bookmarkEnd w:id="107"/>
      <w:bookmarkStart w:id="108" w:name="_Toc17493"/>
      <w:bookmarkStart w:id="109" w:name="_Toc24768"/>
      <w:r>
        <w:rPr>
          <w:rFonts w:hint="eastAsia" w:ascii="宋体" w:hAnsi="宋体" w:eastAsia="宋体" w:cs="宋体"/>
          <w:color w:val="auto"/>
          <w:sz w:val="28"/>
          <w:szCs w:val="28"/>
          <w:highlight w:val="none"/>
        </w:rPr>
        <w:t>3. 投标文件</w:t>
      </w:r>
      <w:bookmarkEnd w:id="108"/>
      <w:bookmarkEnd w:id="109"/>
    </w:p>
    <w:p w14:paraId="1F593737">
      <w:pPr>
        <w:spacing w:line="360" w:lineRule="auto"/>
        <w:rPr>
          <w:rFonts w:hint="eastAsia" w:ascii="宋体" w:hAnsi="宋体" w:cs="宋体"/>
          <w:b/>
          <w:color w:val="auto"/>
          <w:sz w:val="24"/>
          <w:szCs w:val="24"/>
          <w:highlight w:val="none"/>
        </w:rPr>
      </w:pPr>
      <w:bookmarkStart w:id="110" w:name="_Toc2432"/>
      <w:bookmarkEnd w:id="110"/>
      <w:bookmarkStart w:id="111" w:name="_Toc4962"/>
      <w:r>
        <w:rPr>
          <w:rFonts w:hint="eastAsia" w:ascii="宋体" w:hAnsi="宋体" w:cs="宋体"/>
          <w:b/>
          <w:color w:val="auto"/>
          <w:sz w:val="24"/>
          <w:szCs w:val="24"/>
          <w:highlight w:val="none"/>
        </w:rPr>
        <w:t>3.1 投标文件的组成</w:t>
      </w:r>
      <w:bookmarkEnd w:id="111"/>
    </w:p>
    <w:p w14:paraId="1C16EC2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3.1.1 投标文件资格审查部分详见第七章“投标文件格式”资格审查部分中的内容。</w:t>
      </w:r>
    </w:p>
    <w:p w14:paraId="695D4D4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3.1.2 投标文件商务技术部分详见第七章“投标文件格式”商务技术部分中的内容。</w:t>
      </w:r>
    </w:p>
    <w:p w14:paraId="35257A6A">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投标人在评标过程中作出的符合法律法规和招标文件规定的澄清确认，构成投标文件的组成部分。</w:t>
      </w:r>
    </w:p>
    <w:p w14:paraId="0B31458E">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3.1.3 投标人须知前附表未要求提交投标保证金的，投标文件不包括第七章“投标文件格式”商务技术部分中所指的投标保证金。</w:t>
      </w:r>
    </w:p>
    <w:p w14:paraId="7166528A">
      <w:pPr>
        <w:spacing w:line="360" w:lineRule="auto"/>
        <w:rPr>
          <w:rFonts w:hint="eastAsia" w:ascii="宋体" w:hAnsi="宋体" w:cs="宋体"/>
          <w:b/>
          <w:color w:val="auto"/>
          <w:sz w:val="24"/>
          <w:szCs w:val="24"/>
          <w:highlight w:val="none"/>
        </w:rPr>
      </w:pPr>
      <w:bookmarkStart w:id="112" w:name="_Toc3252"/>
      <w:bookmarkEnd w:id="112"/>
      <w:bookmarkStart w:id="113" w:name="_Toc21369"/>
      <w:r>
        <w:rPr>
          <w:rFonts w:hint="eastAsia" w:ascii="宋体" w:hAnsi="宋体" w:cs="宋体"/>
          <w:b/>
          <w:color w:val="auto"/>
          <w:sz w:val="24"/>
          <w:szCs w:val="24"/>
          <w:highlight w:val="none"/>
        </w:rPr>
        <w:t>3.2 投标报价</w:t>
      </w:r>
      <w:bookmarkEnd w:id="113"/>
    </w:p>
    <w:p w14:paraId="62957949">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3.2.1 投标人应按第七章“投标文件格式”的要求在投标函中进行报价。</w:t>
      </w:r>
    </w:p>
    <w:p w14:paraId="1316B202">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3.2.2 投标人应充分了解该项目的总体情况以及影响投标报价的其他要素。</w:t>
      </w:r>
    </w:p>
    <w:p w14:paraId="764EC475">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3.2.3 投标人的投标报价不得超过预算金额，若采购人还设有最高投标限价的，投标人的投标报价还应当不得超过最高投标限价，最高投标限价在投标人须知前附表中载明。</w:t>
      </w:r>
    </w:p>
    <w:p w14:paraId="5ACC9487">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3.2.4 投标报价的其他要求见投标人须知前附表。</w:t>
      </w:r>
    </w:p>
    <w:p w14:paraId="6C30B615">
      <w:pPr>
        <w:spacing w:line="360" w:lineRule="auto"/>
        <w:rPr>
          <w:rFonts w:hint="eastAsia" w:ascii="宋体" w:hAnsi="宋体" w:cs="宋体"/>
          <w:b/>
          <w:color w:val="auto"/>
          <w:sz w:val="24"/>
          <w:szCs w:val="24"/>
          <w:highlight w:val="none"/>
        </w:rPr>
      </w:pPr>
      <w:bookmarkStart w:id="114" w:name="_Toc12995"/>
      <w:bookmarkEnd w:id="114"/>
      <w:bookmarkStart w:id="115" w:name="_Toc14190"/>
      <w:r>
        <w:rPr>
          <w:rFonts w:hint="eastAsia" w:ascii="宋体" w:hAnsi="宋体" w:cs="宋体"/>
          <w:b/>
          <w:color w:val="auto"/>
          <w:sz w:val="24"/>
          <w:szCs w:val="24"/>
          <w:highlight w:val="none"/>
        </w:rPr>
        <w:t>3.3 投标有效期</w:t>
      </w:r>
      <w:bookmarkEnd w:id="115"/>
    </w:p>
    <w:p w14:paraId="6059E87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3.3.1投标有效期见投标人须知前附表。</w:t>
      </w:r>
    </w:p>
    <w:p w14:paraId="15B2B97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3.3.2在投标有效期内，投标人撤销或修改其投标文件的，应承担招标文件和法律规定的责任。</w:t>
      </w:r>
    </w:p>
    <w:p w14:paraId="2A3BBE4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3.3.3 出现特殊情况需要延长投标有效期的，采购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14:paraId="01617B8E">
      <w:pPr>
        <w:spacing w:line="360" w:lineRule="auto"/>
        <w:rPr>
          <w:rFonts w:hint="eastAsia" w:ascii="宋体" w:hAnsi="宋体" w:cs="宋体"/>
          <w:b/>
          <w:color w:val="auto"/>
          <w:sz w:val="24"/>
          <w:szCs w:val="24"/>
          <w:highlight w:val="none"/>
        </w:rPr>
      </w:pPr>
      <w:bookmarkStart w:id="116" w:name="_Toc1543"/>
      <w:bookmarkEnd w:id="116"/>
      <w:bookmarkStart w:id="117" w:name="_Toc23125"/>
      <w:r>
        <w:rPr>
          <w:rFonts w:hint="eastAsia" w:ascii="宋体" w:hAnsi="宋体" w:cs="宋体"/>
          <w:b/>
          <w:color w:val="auto"/>
          <w:sz w:val="24"/>
          <w:szCs w:val="24"/>
          <w:highlight w:val="none"/>
        </w:rPr>
        <w:t>3.4 投标保证金</w:t>
      </w:r>
      <w:bookmarkEnd w:id="117"/>
    </w:p>
    <w:p w14:paraId="101141BC">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3.4.1投标人在递交投标文件的同时，应按投标人须知前附表规定的金额、形式和第七章“投标文件格式”规定的投标保证金格式递交投标保证金，并作为其投标文件的组成部分。应当从其基本账户转出并在投标文件中附上开户许可证或基本存款账户信息或投标保证金缴纳凭证。</w:t>
      </w:r>
    </w:p>
    <w:p w14:paraId="310F465A">
      <w:pPr>
        <w:spacing w:line="360" w:lineRule="auto"/>
        <w:ind w:left="479" w:leftChars="228"/>
        <w:rPr>
          <w:rFonts w:hint="eastAsia" w:ascii="宋体" w:hAnsi="宋体" w:cs="宋体"/>
          <w:color w:val="auto"/>
          <w:sz w:val="24"/>
          <w:szCs w:val="24"/>
          <w:highlight w:val="none"/>
        </w:rPr>
      </w:pPr>
      <w:r>
        <w:rPr>
          <w:rFonts w:hint="eastAsia" w:ascii="宋体" w:hAnsi="宋体" w:cs="宋体"/>
          <w:color w:val="auto"/>
          <w:sz w:val="24"/>
          <w:szCs w:val="24"/>
          <w:highlight w:val="none"/>
        </w:rPr>
        <w:t>3.4.2 投标人不按本章第3.4.1项要求提交投标保证金的，其投标将被视为无效投标。</w:t>
      </w:r>
    </w:p>
    <w:p w14:paraId="5D1D14D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3.4.3 采购人或者采购代理机构应当自中标通知书发出之日起5个工作日内退还未中标人的投标保证金，自采购合同签订之日起5个工作日内退还中标人的投标保证金。</w:t>
      </w:r>
    </w:p>
    <w:p w14:paraId="51AA0AD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3.4.4 有下列情形之一的，投标保证金将不予退还：</w:t>
      </w:r>
    </w:p>
    <w:p w14:paraId="0680986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(1)投标人在投标有效期内撤销投标文件；</w:t>
      </w:r>
    </w:p>
    <w:p w14:paraId="641021C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(2)中标人在收到中标通知书后，无正当理由不与采购人订立合同，在签订合同时向采购人提出附加条件，或者不按照招标文件要求提交履约保证金；</w:t>
      </w:r>
    </w:p>
    <w:p w14:paraId="535FFC15">
      <w:pPr>
        <w:spacing w:line="360" w:lineRule="auto"/>
        <w:ind w:left="479" w:leftChars="228"/>
        <w:rPr>
          <w:rFonts w:hint="eastAsia" w:ascii="宋体" w:hAnsi="宋体" w:cs="宋体"/>
          <w:color w:val="auto"/>
          <w:sz w:val="24"/>
          <w:szCs w:val="24"/>
          <w:highlight w:val="none"/>
        </w:rPr>
      </w:pPr>
      <w:bookmarkStart w:id="118" w:name="_Toc32408"/>
      <w:bookmarkEnd w:id="118"/>
      <w:bookmarkStart w:id="119" w:name="_Toc4859"/>
      <w:r>
        <w:rPr>
          <w:rFonts w:hint="eastAsia" w:ascii="宋体" w:hAnsi="宋体" w:cs="宋体"/>
          <w:color w:val="auto"/>
          <w:sz w:val="24"/>
          <w:szCs w:val="24"/>
          <w:highlight w:val="none"/>
        </w:rPr>
        <w:t>(3)其他法律法规要求不予退还投标保证金的情形。</w:t>
      </w:r>
    </w:p>
    <w:p w14:paraId="53E5A290">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3.5投标文件的编制</w:t>
      </w:r>
      <w:bookmarkEnd w:id="119"/>
    </w:p>
    <w:p w14:paraId="203190D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bidi="ar"/>
        </w:rPr>
        <w:t>.5.1 投标文件应按第七章“投标文件格式”进行编写。</w:t>
      </w:r>
    </w:p>
    <w:p w14:paraId="15494AE3">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3.5.2投标文件全部采用电子文档，除投标人须知前附表另有规定外，投标文件所附证书证件均为原件扫描件，并采用单位和个人数字证书，按招标文件要求在相应位置加盖电子签章。由投标人的法定代表人(单位负责人)签字或加盖电子签章的，应附法定代表人(单位负责人)身份证明，由代理人签字或加盖电子签章的，应附由法定代表人(单位负责人)签署的授权委托书。</w:t>
      </w:r>
    </w:p>
    <w:p w14:paraId="28B5B8E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3.5.3投标文件编制的其他要求见投标人须知前附表。</w:t>
      </w:r>
    </w:p>
    <w:p w14:paraId="4FF88886">
      <w:pPr>
        <w:pStyle w:val="3"/>
        <w:spacing w:before="0" w:after="0" w:line="360" w:lineRule="auto"/>
        <w:rPr>
          <w:rFonts w:hint="eastAsia" w:ascii="宋体" w:hAnsi="宋体" w:eastAsia="宋体" w:cs="宋体"/>
          <w:color w:val="auto"/>
          <w:sz w:val="28"/>
          <w:szCs w:val="28"/>
          <w:highlight w:val="none"/>
        </w:rPr>
      </w:pPr>
      <w:bookmarkStart w:id="120" w:name="_Toc1490"/>
      <w:bookmarkEnd w:id="120"/>
      <w:bookmarkStart w:id="121" w:name="_Toc13757"/>
      <w:bookmarkEnd w:id="121"/>
      <w:bookmarkStart w:id="122" w:name="_Toc7149"/>
      <w:bookmarkStart w:id="123" w:name="_Toc16877"/>
      <w:r>
        <w:rPr>
          <w:rFonts w:hint="eastAsia" w:ascii="宋体" w:hAnsi="宋体" w:eastAsia="宋体" w:cs="宋体"/>
          <w:color w:val="auto"/>
          <w:sz w:val="28"/>
          <w:szCs w:val="28"/>
          <w:highlight w:val="none"/>
        </w:rPr>
        <w:t>4. 投标</w:t>
      </w:r>
      <w:bookmarkEnd w:id="122"/>
      <w:bookmarkEnd w:id="123"/>
    </w:p>
    <w:p w14:paraId="49351696">
      <w:pPr>
        <w:spacing w:line="360" w:lineRule="auto"/>
        <w:rPr>
          <w:rFonts w:hint="eastAsia" w:ascii="宋体" w:hAnsi="宋体" w:cs="宋体"/>
          <w:b/>
          <w:color w:val="auto"/>
          <w:sz w:val="24"/>
          <w:szCs w:val="24"/>
          <w:highlight w:val="none"/>
        </w:rPr>
      </w:pPr>
      <w:bookmarkStart w:id="124" w:name="_Toc1523"/>
      <w:bookmarkEnd w:id="124"/>
      <w:bookmarkStart w:id="125" w:name="_Toc25497"/>
      <w:r>
        <w:rPr>
          <w:rFonts w:hint="eastAsia" w:ascii="宋体" w:hAnsi="宋体" w:cs="宋体"/>
          <w:b/>
          <w:color w:val="auto"/>
          <w:sz w:val="24"/>
          <w:szCs w:val="24"/>
          <w:highlight w:val="none"/>
        </w:rPr>
        <w:t xml:space="preserve">4.1 </w:t>
      </w:r>
      <w:bookmarkEnd w:id="125"/>
      <w:r>
        <w:rPr>
          <w:rFonts w:hint="eastAsia" w:ascii="宋体" w:hAnsi="宋体"/>
          <w:b/>
          <w:color w:val="auto"/>
          <w:sz w:val="24"/>
          <w:szCs w:val="24"/>
          <w:highlight w:val="none"/>
        </w:rPr>
        <w:t>投标文件加密要求</w:t>
      </w:r>
    </w:p>
    <w:p w14:paraId="698F6C2C">
      <w:pPr>
        <w:spacing w:line="360" w:lineRule="auto"/>
        <w:ind w:firstLine="480" w:firstLineChars="200"/>
        <w:rPr>
          <w:rFonts w:hint="eastAsia" w:ascii="宋体" w:hAnsi="宋体" w:cs="宋体"/>
          <w:color w:val="auto"/>
          <w:sz w:val="24"/>
          <w:szCs w:val="24"/>
          <w:highlight w:val="none"/>
        </w:rPr>
      </w:pPr>
      <w:bookmarkStart w:id="126" w:name="_Toc27596"/>
      <w:bookmarkEnd w:id="126"/>
      <w:bookmarkStart w:id="127" w:name="_Toc9134"/>
      <w:r>
        <w:rPr>
          <w:rFonts w:hint="eastAsia" w:ascii="宋体" w:hAnsi="宋体" w:cs="宋体"/>
          <w:color w:val="auto"/>
          <w:sz w:val="24"/>
          <w:szCs w:val="24"/>
          <w:highlight w:val="none"/>
          <w:lang w:bidi="ar"/>
        </w:rPr>
        <w:t>4.1.1 投标人应当按照招标文件和电子招标投标交易平台的要求加密投标文件，具体要求见投标人须知前附表。</w:t>
      </w:r>
    </w:p>
    <w:p w14:paraId="6065F2C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4.1.2 未按本章第4.1.1 要求加密的投标文件，采购人将予以拒收。</w:t>
      </w:r>
    </w:p>
    <w:p w14:paraId="132F8797">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4.2 投标文件的递交</w:t>
      </w:r>
      <w:bookmarkEnd w:id="127"/>
    </w:p>
    <w:p w14:paraId="44BE11CB">
      <w:pPr>
        <w:spacing w:line="360" w:lineRule="auto"/>
        <w:ind w:firstLine="540" w:firstLineChars="225"/>
        <w:rPr>
          <w:rFonts w:hint="eastAsia" w:ascii="宋体" w:hAnsi="宋体" w:cs="宋体"/>
          <w:color w:val="auto"/>
          <w:sz w:val="24"/>
          <w:szCs w:val="24"/>
          <w:highlight w:val="none"/>
        </w:rPr>
      </w:pPr>
      <w:bookmarkStart w:id="128" w:name="_Toc21133"/>
      <w:bookmarkEnd w:id="128"/>
      <w:r>
        <w:rPr>
          <w:rFonts w:hint="eastAsia" w:ascii="宋体" w:hAnsi="宋体" w:cs="宋体"/>
          <w:color w:val="auto"/>
          <w:sz w:val="24"/>
          <w:szCs w:val="24"/>
          <w:highlight w:val="none"/>
        </w:rPr>
        <w:t>4.2.1 投标人应在投标人须知前附表规定的投标截止时间前递交投标文件。</w:t>
      </w:r>
    </w:p>
    <w:p w14:paraId="3EC0B54B">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4.2.2 投标人递交投标文件的时间和地点：见投标人须知前附表。</w:t>
      </w:r>
    </w:p>
    <w:p w14:paraId="38BAA3D3">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4.2.3 投标人所递交的投标文件不予退还。</w:t>
      </w:r>
    </w:p>
    <w:p w14:paraId="160E7112">
      <w:pPr>
        <w:spacing w:line="360" w:lineRule="auto"/>
        <w:rPr>
          <w:rFonts w:hint="eastAsia" w:ascii="宋体" w:hAnsi="宋体" w:cs="宋体"/>
          <w:b/>
          <w:color w:val="auto"/>
          <w:sz w:val="24"/>
          <w:szCs w:val="24"/>
          <w:highlight w:val="none"/>
        </w:rPr>
      </w:pPr>
      <w:bookmarkStart w:id="129" w:name="_Toc8975"/>
      <w:bookmarkEnd w:id="129"/>
      <w:bookmarkStart w:id="130" w:name="_Toc5071"/>
      <w:r>
        <w:rPr>
          <w:rFonts w:hint="eastAsia" w:ascii="宋体" w:hAnsi="宋体" w:cs="宋体"/>
          <w:b/>
          <w:color w:val="auto"/>
          <w:sz w:val="24"/>
          <w:szCs w:val="24"/>
          <w:highlight w:val="none"/>
        </w:rPr>
        <w:t>4.3 投标文件的修改与撤回</w:t>
      </w:r>
      <w:bookmarkEnd w:id="130"/>
    </w:p>
    <w:p w14:paraId="00CD93AF">
      <w:pPr>
        <w:spacing w:line="360" w:lineRule="auto"/>
        <w:ind w:firstLine="480" w:firstLineChars="200"/>
        <w:rPr>
          <w:rFonts w:hint="eastAsia" w:ascii="宋体" w:hAnsi="宋体" w:cs="宋体"/>
          <w:color w:val="auto"/>
          <w:sz w:val="24"/>
          <w:szCs w:val="24"/>
          <w:highlight w:val="none"/>
        </w:rPr>
      </w:pPr>
      <w:bookmarkStart w:id="131" w:name="_Toc14362"/>
      <w:bookmarkEnd w:id="131"/>
      <w:bookmarkStart w:id="132" w:name="_Toc27754"/>
      <w:bookmarkEnd w:id="132"/>
      <w:bookmarkStart w:id="133" w:name="_Toc9271"/>
      <w:bookmarkEnd w:id="133"/>
      <w:bookmarkStart w:id="134" w:name="_Toc26040"/>
      <w:bookmarkEnd w:id="134"/>
      <w:bookmarkStart w:id="135" w:name="_Toc2249"/>
      <w:bookmarkStart w:id="136" w:name="_Toc9143"/>
      <w:bookmarkStart w:id="137" w:name="_Toc30133"/>
      <w:r>
        <w:rPr>
          <w:rFonts w:hint="eastAsia" w:ascii="宋体" w:hAnsi="宋体" w:cs="宋体"/>
          <w:color w:val="auto"/>
          <w:sz w:val="24"/>
          <w:szCs w:val="24"/>
          <w:highlight w:val="none"/>
          <w:lang w:bidi="ar"/>
        </w:rPr>
        <w:t>4.3.1在投标截止时间前，投标人可以撤回在网上已递交的投标文件，修改后重新递交，无须书面形式通知采购人。</w:t>
      </w:r>
    </w:p>
    <w:p w14:paraId="37FD3A1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4.3.2修改的投标文件应按照招标文件规定进行编制、加密和递交。</w:t>
      </w:r>
    </w:p>
    <w:p w14:paraId="373AD74C">
      <w:pPr>
        <w:pStyle w:val="3"/>
        <w:spacing w:before="0" w:after="0" w:line="360" w:lineRule="auto"/>
        <w:rPr>
          <w:rFonts w:hint="eastAsia" w:ascii="宋体" w:hAnsi="宋体" w:eastAsia="宋体"/>
          <w:color w:val="auto"/>
          <w:sz w:val="28"/>
          <w:szCs w:val="28"/>
          <w:highlight w:val="none"/>
        </w:rPr>
      </w:pPr>
      <w:bookmarkStart w:id="138" w:name="_Toc26267"/>
      <w:r>
        <w:rPr>
          <w:rFonts w:hint="eastAsia" w:ascii="宋体" w:hAnsi="宋体" w:eastAsia="宋体"/>
          <w:color w:val="auto"/>
          <w:sz w:val="28"/>
          <w:szCs w:val="28"/>
          <w:highlight w:val="none"/>
        </w:rPr>
        <w:t>5. 开标</w:t>
      </w:r>
      <w:bookmarkEnd w:id="135"/>
      <w:bookmarkEnd w:id="138"/>
    </w:p>
    <w:p w14:paraId="31A1F898">
      <w:pPr>
        <w:spacing w:line="360" w:lineRule="auto"/>
        <w:rPr>
          <w:rFonts w:hint="eastAsia" w:ascii="宋体" w:hAnsi="宋体"/>
          <w:b/>
          <w:color w:val="auto"/>
          <w:sz w:val="24"/>
          <w:szCs w:val="24"/>
          <w:highlight w:val="none"/>
        </w:rPr>
      </w:pPr>
      <w:r>
        <w:rPr>
          <w:rFonts w:hint="eastAsia" w:ascii="宋体" w:hAnsi="宋体"/>
          <w:b/>
          <w:color w:val="auto"/>
          <w:sz w:val="24"/>
          <w:szCs w:val="24"/>
          <w:highlight w:val="none"/>
        </w:rPr>
        <w:t>5.1 开标时间和地点</w:t>
      </w:r>
      <w:bookmarkEnd w:id="136"/>
    </w:p>
    <w:p w14:paraId="6121C621">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采购人在本章第4.2.1款规定的投标截止时间(开标时间)和投标人须知前附表规定的地点公开开标。</w:t>
      </w:r>
    </w:p>
    <w:p w14:paraId="4CA9AE94">
      <w:pPr>
        <w:spacing w:line="360" w:lineRule="auto"/>
        <w:rPr>
          <w:rFonts w:hint="eastAsia" w:ascii="宋体" w:hAnsi="宋体"/>
          <w:b/>
          <w:bCs/>
          <w:color w:val="auto"/>
          <w:sz w:val="24"/>
          <w:szCs w:val="24"/>
          <w:highlight w:val="none"/>
        </w:rPr>
      </w:pPr>
      <w:bookmarkStart w:id="139" w:name="_Toc21332"/>
      <w:bookmarkEnd w:id="139"/>
      <w:bookmarkStart w:id="140" w:name="_Toc27792"/>
      <w:bookmarkEnd w:id="140"/>
      <w:bookmarkStart w:id="141" w:name="_Toc24636"/>
      <w:r>
        <w:rPr>
          <w:rFonts w:hint="eastAsia" w:ascii="宋体" w:hAnsi="宋体"/>
          <w:b/>
          <w:color w:val="auto"/>
          <w:sz w:val="24"/>
          <w:szCs w:val="24"/>
          <w:highlight w:val="none"/>
        </w:rPr>
        <w:t>5.2</w:t>
      </w:r>
      <w:r>
        <w:rPr>
          <w:rFonts w:hint="eastAsia" w:ascii="宋体" w:hAnsi="宋体"/>
          <w:b/>
          <w:bCs/>
          <w:color w:val="auto"/>
          <w:sz w:val="24"/>
          <w:szCs w:val="24"/>
          <w:highlight w:val="none"/>
        </w:rPr>
        <w:t>投标截止后投标人不足3家的，不得开标。</w:t>
      </w:r>
    </w:p>
    <w:p w14:paraId="1F82874A">
      <w:pPr>
        <w:spacing w:line="360" w:lineRule="auto"/>
        <w:rPr>
          <w:rFonts w:hint="eastAsia" w:ascii="宋体" w:hAnsi="宋体"/>
          <w:b/>
          <w:color w:val="auto"/>
          <w:sz w:val="24"/>
          <w:szCs w:val="24"/>
          <w:highlight w:val="none"/>
        </w:rPr>
      </w:pPr>
      <w:r>
        <w:rPr>
          <w:rFonts w:hint="eastAsia" w:ascii="宋体" w:hAnsi="宋体"/>
          <w:b/>
          <w:color w:val="auto"/>
          <w:sz w:val="24"/>
          <w:szCs w:val="24"/>
          <w:highlight w:val="none"/>
        </w:rPr>
        <w:t>5.3 开标程序</w:t>
      </w:r>
      <w:bookmarkEnd w:id="141"/>
    </w:p>
    <w:p w14:paraId="1575E7B0">
      <w:pPr>
        <w:spacing w:line="360" w:lineRule="auto"/>
        <w:ind w:firstLine="540" w:firstLineChars="225"/>
        <w:rPr>
          <w:rFonts w:hint="eastAsia" w:ascii="宋体" w:hAnsi="宋体" w:cs="宋体"/>
          <w:color w:val="auto"/>
          <w:sz w:val="24"/>
          <w:szCs w:val="24"/>
          <w:highlight w:val="none"/>
        </w:rPr>
      </w:pPr>
      <w:bookmarkStart w:id="142" w:name="_Toc27216"/>
      <w:bookmarkEnd w:id="142"/>
      <w:bookmarkStart w:id="143" w:name="_Toc22860"/>
      <w:r>
        <w:rPr>
          <w:rFonts w:hint="eastAsia" w:ascii="宋体" w:hAnsi="宋体" w:cs="宋体"/>
          <w:color w:val="auto"/>
          <w:sz w:val="24"/>
          <w:szCs w:val="24"/>
          <w:highlight w:val="none"/>
          <w:lang w:bidi="ar"/>
        </w:rPr>
        <w:t>(1)开标会由采购代理机构主持。</w:t>
      </w:r>
    </w:p>
    <w:p w14:paraId="046D2AFB">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(2)开标:顺序按照政采云平台自动提取所有投标人的顺序当众开标。</w:t>
      </w:r>
    </w:p>
    <w:p w14:paraId="49F1D851">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(3)唱标：智能播报/由唱标人宣读投标人在其电子投标文件中投标价格和招标文件规定的需要宣布的其他内容。</w:t>
      </w:r>
    </w:p>
    <w:p w14:paraId="5B506024">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(4) 开标工作人员将做开标记录，参加开标的各相关工作人员须签字确认。</w:t>
      </w:r>
    </w:p>
    <w:p w14:paraId="0639495B">
      <w:pPr>
        <w:spacing w:line="360" w:lineRule="auto"/>
        <w:rPr>
          <w:rFonts w:hint="eastAsia" w:ascii="宋体" w:hAnsi="宋体"/>
          <w:b/>
          <w:color w:val="auto"/>
          <w:sz w:val="24"/>
          <w:szCs w:val="24"/>
          <w:highlight w:val="none"/>
        </w:rPr>
      </w:pPr>
      <w:r>
        <w:rPr>
          <w:rFonts w:hint="eastAsia" w:ascii="宋体" w:hAnsi="宋体"/>
          <w:b/>
          <w:color w:val="auto"/>
          <w:sz w:val="24"/>
          <w:szCs w:val="24"/>
          <w:highlight w:val="none"/>
        </w:rPr>
        <w:t>5.4 开标</w:t>
      </w:r>
      <w:bookmarkEnd w:id="143"/>
      <w:r>
        <w:rPr>
          <w:rFonts w:hint="eastAsia" w:ascii="宋体" w:hAnsi="宋体"/>
          <w:b/>
          <w:color w:val="auto"/>
          <w:sz w:val="24"/>
          <w:szCs w:val="24"/>
          <w:highlight w:val="none"/>
        </w:rPr>
        <w:t>异议</w:t>
      </w:r>
    </w:p>
    <w:p w14:paraId="3C8578CF">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开标过程中如有问题，可以在线提出异议，由代理机构给予回复。在规定的异议询问时间内未提出异议的，则视为对开标结果无异议。</w:t>
      </w:r>
    </w:p>
    <w:p w14:paraId="39ACA7C1">
      <w:pPr>
        <w:pStyle w:val="3"/>
        <w:spacing w:before="0" w:after="0" w:line="360" w:lineRule="auto"/>
        <w:rPr>
          <w:rFonts w:hint="eastAsia" w:ascii="宋体" w:hAnsi="宋体" w:eastAsia="宋体" w:cs="宋体"/>
          <w:color w:val="auto"/>
          <w:sz w:val="28"/>
          <w:szCs w:val="28"/>
          <w:highlight w:val="none"/>
        </w:rPr>
      </w:pPr>
      <w:bookmarkStart w:id="144" w:name="_Toc8675"/>
      <w:r>
        <w:rPr>
          <w:rFonts w:hint="eastAsia" w:ascii="宋体" w:hAnsi="宋体" w:eastAsia="宋体" w:cs="宋体"/>
          <w:color w:val="auto"/>
          <w:sz w:val="28"/>
          <w:szCs w:val="28"/>
          <w:highlight w:val="none"/>
        </w:rPr>
        <w:t>6. 资格审查</w:t>
      </w:r>
      <w:bookmarkEnd w:id="137"/>
      <w:bookmarkEnd w:id="144"/>
    </w:p>
    <w:p w14:paraId="5E43637F">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公开招标采购项目开标结束后，采购人或者采购代理机构应当依法对投标人的资格进行审查。</w:t>
      </w:r>
    </w:p>
    <w:p w14:paraId="3C639046">
      <w:pPr>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合格投标人不足3家的，不得评标。</w:t>
      </w:r>
    </w:p>
    <w:p w14:paraId="3BAE2626">
      <w:pPr>
        <w:pStyle w:val="3"/>
        <w:spacing w:before="0" w:after="0" w:line="360" w:lineRule="auto"/>
        <w:rPr>
          <w:rFonts w:hint="eastAsia" w:ascii="宋体" w:hAnsi="宋体" w:eastAsia="宋体" w:cs="宋体"/>
          <w:color w:val="auto"/>
          <w:sz w:val="28"/>
          <w:szCs w:val="28"/>
          <w:highlight w:val="none"/>
        </w:rPr>
      </w:pPr>
      <w:bookmarkStart w:id="145" w:name="_Toc25563"/>
      <w:bookmarkEnd w:id="145"/>
      <w:bookmarkStart w:id="146" w:name="_Toc11518"/>
      <w:bookmarkEnd w:id="146"/>
      <w:bookmarkStart w:id="147" w:name="_Toc28237"/>
      <w:bookmarkEnd w:id="147"/>
      <w:bookmarkStart w:id="148" w:name="_Toc3756"/>
      <w:bookmarkStart w:id="149" w:name="_Toc12036"/>
      <w:bookmarkStart w:id="150" w:name="_Toc29087"/>
      <w:bookmarkStart w:id="151" w:name="_Toc6336"/>
      <w:r>
        <w:rPr>
          <w:rFonts w:hint="eastAsia" w:ascii="宋体" w:hAnsi="宋体" w:eastAsia="宋体" w:cs="宋体"/>
          <w:color w:val="auto"/>
          <w:sz w:val="28"/>
          <w:szCs w:val="28"/>
          <w:highlight w:val="none"/>
        </w:rPr>
        <w:t>7. 评标</w:t>
      </w:r>
      <w:bookmarkEnd w:id="148"/>
      <w:bookmarkEnd w:id="149"/>
      <w:bookmarkEnd w:id="150"/>
    </w:p>
    <w:p w14:paraId="31F08093">
      <w:pPr>
        <w:spacing w:line="360" w:lineRule="auto"/>
        <w:rPr>
          <w:rFonts w:hint="eastAsia" w:ascii="宋体" w:hAnsi="宋体" w:cs="宋体"/>
          <w:b/>
          <w:color w:val="auto"/>
          <w:sz w:val="24"/>
          <w:szCs w:val="24"/>
          <w:highlight w:val="none"/>
        </w:rPr>
      </w:pPr>
      <w:bookmarkStart w:id="152" w:name="_Toc11207"/>
      <w:bookmarkEnd w:id="152"/>
      <w:bookmarkStart w:id="153" w:name="_Toc4770"/>
      <w:r>
        <w:rPr>
          <w:rFonts w:hint="eastAsia" w:ascii="宋体" w:hAnsi="宋体" w:cs="宋体"/>
          <w:b/>
          <w:color w:val="auto"/>
          <w:sz w:val="24"/>
          <w:szCs w:val="24"/>
          <w:highlight w:val="none"/>
        </w:rPr>
        <w:t>7.1 评标委员会</w:t>
      </w:r>
      <w:bookmarkEnd w:id="153"/>
    </w:p>
    <w:p w14:paraId="06C6BCD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7.1.1 评标由采购人依法组建的评标委员会负责。评标委员会由采购人代表以及有关技术、经济等方面的专家组成。评标委员会成员人数以及技术、经济等方面专家的确定方式见投标人须知前附表。</w:t>
      </w:r>
    </w:p>
    <w:p w14:paraId="396E65D4">
      <w:pPr>
        <w:widowControl w:val="0"/>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7.1.2 评标中因评标委员会成员缺席、回避或者健康等特殊原因导致评标委员会组成不符合《政府采购货物和服务招标投标管理办法》(财政部令第87号)规定的，采购人或者采购代理机构应当依法补足后继续评标。被更换的评标委员会成员所作出的评标意见无效。无法及时补足评标委员会成员的，采购人或者采购代理机构应当停止评标活动，封存所有投标文件和开标、评标资料，依法重新组建评标委员会进行评标。原评标委员会所作出的评标意见无效。采购人或者采购代理机构应当将变更、重新组建评标委员会的情况予以记录，并随招标文件一并存档。</w:t>
      </w:r>
    </w:p>
    <w:p w14:paraId="7D8DA4F8">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7.2 评标原则</w:t>
      </w:r>
      <w:bookmarkEnd w:id="151"/>
    </w:p>
    <w:p w14:paraId="46DE86E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评标活动遵循公平、公正、科学和择优的原则。</w:t>
      </w:r>
    </w:p>
    <w:p w14:paraId="1DBFC331">
      <w:pPr>
        <w:spacing w:line="360" w:lineRule="auto"/>
        <w:rPr>
          <w:rFonts w:hint="eastAsia" w:ascii="宋体" w:hAnsi="宋体" w:cs="宋体"/>
          <w:b/>
          <w:color w:val="auto"/>
          <w:sz w:val="24"/>
          <w:szCs w:val="24"/>
          <w:highlight w:val="none"/>
        </w:rPr>
      </w:pPr>
      <w:bookmarkStart w:id="154" w:name="_Toc10442"/>
      <w:bookmarkEnd w:id="154"/>
      <w:bookmarkStart w:id="155" w:name="_Toc5282"/>
      <w:r>
        <w:rPr>
          <w:rFonts w:hint="eastAsia" w:ascii="宋体" w:hAnsi="宋体" w:cs="宋体"/>
          <w:b/>
          <w:color w:val="auto"/>
          <w:sz w:val="24"/>
          <w:szCs w:val="24"/>
          <w:highlight w:val="none"/>
        </w:rPr>
        <w:t>7.3 评标</w:t>
      </w:r>
      <w:bookmarkEnd w:id="155"/>
    </w:p>
    <w:p w14:paraId="4D58F8B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7.3.1 评标委员会按照第四章“评标办法”规定的方法、评审因素、标准和程序对投标文件进行评审。第四章“评标办法”没有规定的方法、评审因素和标准，不作为评标依据。</w:t>
      </w:r>
    </w:p>
    <w:p w14:paraId="766D646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7.3.2 评标完成后，评标委员会应当向采购人提交书面评标报告和中标候选人名单。评标委员会推荐中标候选人的人数见投标人须知前附表。</w:t>
      </w:r>
    </w:p>
    <w:p w14:paraId="1ED3DFC3">
      <w:pPr>
        <w:pStyle w:val="3"/>
        <w:spacing w:before="0" w:after="0" w:line="360" w:lineRule="auto"/>
        <w:rPr>
          <w:rFonts w:hint="eastAsia" w:ascii="宋体" w:hAnsi="宋体" w:eastAsia="宋体" w:cs="宋体"/>
          <w:color w:val="auto"/>
          <w:sz w:val="28"/>
          <w:szCs w:val="28"/>
          <w:highlight w:val="none"/>
        </w:rPr>
      </w:pPr>
      <w:bookmarkStart w:id="156" w:name="_Toc30483"/>
      <w:bookmarkEnd w:id="156"/>
      <w:bookmarkStart w:id="157" w:name="_Toc6003"/>
      <w:bookmarkEnd w:id="157"/>
      <w:bookmarkStart w:id="158" w:name="_Toc23012"/>
      <w:bookmarkStart w:id="159" w:name="_Toc22840"/>
      <w:r>
        <w:rPr>
          <w:rFonts w:hint="eastAsia" w:ascii="宋体" w:hAnsi="宋体" w:eastAsia="宋体" w:cs="宋体"/>
          <w:color w:val="auto"/>
          <w:sz w:val="28"/>
          <w:szCs w:val="28"/>
          <w:highlight w:val="none"/>
        </w:rPr>
        <w:t>8. 中标和合同</w:t>
      </w:r>
      <w:bookmarkEnd w:id="158"/>
      <w:bookmarkEnd w:id="159"/>
    </w:p>
    <w:p w14:paraId="2247A302">
      <w:pPr>
        <w:spacing w:line="360" w:lineRule="auto"/>
        <w:rPr>
          <w:rFonts w:hint="eastAsia" w:ascii="宋体" w:hAnsi="宋体" w:cs="宋体"/>
          <w:b/>
          <w:color w:val="auto"/>
          <w:sz w:val="24"/>
          <w:szCs w:val="24"/>
          <w:highlight w:val="none"/>
        </w:rPr>
      </w:pPr>
      <w:bookmarkStart w:id="160" w:name="_Toc18219"/>
      <w:bookmarkEnd w:id="160"/>
      <w:bookmarkStart w:id="161" w:name="_Toc31217"/>
      <w:r>
        <w:rPr>
          <w:rFonts w:hint="eastAsia" w:ascii="宋体" w:hAnsi="宋体" w:cs="宋体"/>
          <w:b/>
          <w:color w:val="auto"/>
          <w:sz w:val="24"/>
          <w:szCs w:val="24"/>
          <w:highlight w:val="none"/>
        </w:rPr>
        <w:t>8.1 定标</w:t>
      </w:r>
      <w:bookmarkEnd w:id="161"/>
    </w:p>
    <w:p w14:paraId="36AA8AF3">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按照投标人须知前附表的规定，采购人或采购人授权的评标委员会依法确定中标人。</w:t>
      </w:r>
    </w:p>
    <w:p w14:paraId="2CC54F80">
      <w:pPr>
        <w:spacing w:line="360" w:lineRule="auto"/>
        <w:rPr>
          <w:rFonts w:hint="eastAsia" w:ascii="宋体" w:hAnsi="宋体" w:cs="宋体"/>
          <w:b/>
          <w:color w:val="auto"/>
          <w:sz w:val="24"/>
          <w:szCs w:val="24"/>
          <w:highlight w:val="none"/>
        </w:rPr>
      </w:pPr>
      <w:bookmarkStart w:id="162" w:name="_Toc18811"/>
      <w:bookmarkEnd w:id="162"/>
      <w:bookmarkStart w:id="163" w:name="_Toc18115"/>
      <w:r>
        <w:rPr>
          <w:rFonts w:hint="eastAsia" w:ascii="宋体" w:hAnsi="宋体" w:cs="宋体"/>
          <w:b/>
          <w:color w:val="auto"/>
          <w:sz w:val="24"/>
          <w:szCs w:val="24"/>
          <w:highlight w:val="none"/>
        </w:rPr>
        <w:t>8.2中标公告</w:t>
      </w:r>
      <w:bookmarkEnd w:id="163"/>
    </w:p>
    <w:p w14:paraId="60E5B43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采购人或者采购代理机构应当自中标人确定之日起2个工作日内，按照投标人须知前附表规定的媒介和期限公告中标结果，招标文件应当随中标结果同时公告。</w:t>
      </w:r>
    </w:p>
    <w:p w14:paraId="4C6F3D2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中标公告期限详见投标人须知前附表。</w:t>
      </w:r>
    </w:p>
    <w:p w14:paraId="06864F4E">
      <w:pPr>
        <w:spacing w:line="360" w:lineRule="auto"/>
        <w:rPr>
          <w:rFonts w:hint="eastAsia" w:ascii="宋体" w:hAnsi="宋体" w:cs="宋体"/>
          <w:b/>
          <w:color w:val="auto"/>
          <w:sz w:val="24"/>
          <w:szCs w:val="24"/>
          <w:highlight w:val="none"/>
        </w:rPr>
      </w:pPr>
      <w:bookmarkStart w:id="164" w:name="_Toc8411"/>
      <w:bookmarkEnd w:id="164"/>
      <w:bookmarkStart w:id="165" w:name="_Toc16495"/>
      <w:bookmarkEnd w:id="165"/>
      <w:bookmarkStart w:id="166" w:name="_Toc3833"/>
      <w:r>
        <w:rPr>
          <w:rFonts w:hint="eastAsia" w:ascii="宋体" w:hAnsi="宋体" w:cs="宋体"/>
          <w:b/>
          <w:color w:val="auto"/>
          <w:sz w:val="24"/>
          <w:szCs w:val="24"/>
          <w:highlight w:val="none"/>
        </w:rPr>
        <w:t>8.3中标通知</w:t>
      </w:r>
      <w:bookmarkEnd w:id="166"/>
    </w:p>
    <w:p w14:paraId="4AD1522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在本章第3.3 款规定的投标有效期内，在公告中标结果的同时，采购人或者采购代理机构应当向中标人发出中标通知书。</w:t>
      </w:r>
    </w:p>
    <w:p w14:paraId="424E01D6">
      <w:pPr>
        <w:spacing w:line="360" w:lineRule="auto"/>
        <w:rPr>
          <w:rFonts w:hint="eastAsia" w:ascii="宋体" w:hAnsi="宋体" w:cs="宋体"/>
          <w:b/>
          <w:color w:val="auto"/>
          <w:sz w:val="24"/>
          <w:szCs w:val="24"/>
          <w:highlight w:val="none"/>
        </w:rPr>
      </w:pPr>
      <w:bookmarkStart w:id="167" w:name="_Toc6413"/>
      <w:bookmarkEnd w:id="167"/>
      <w:bookmarkStart w:id="168" w:name="_Toc13042"/>
      <w:bookmarkEnd w:id="168"/>
      <w:bookmarkStart w:id="169" w:name="_Toc18519"/>
      <w:r>
        <w:rPr>
          <w:rFonts w:hint="eastAsia" w:ascii="宋体" w:hAnsi="宋体" w:cs="宋体"/>
          <w:b/>
          <w:color w:val="auto"/>
          <w:sz w:val="24"/>
          <w:szCs w:val="24"/>
          <w:highlight w:val="none"/>
        </w:rPr>
        <w:t>8.4 签订合同</w:t>
      </w:r>
      <w:bookmarkEnd w:id="169"/>
    </w:p>
    <w:p w14:paraId="5A8EC036">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8.4.1 采购人应当自中标通知书发出之日起30日内，按照招标文件和中标人投标文件的规定，与中标人签订书面合同。所签订的合同不得对招标文件确定的事项和中标人投标文件作实质性修改。采购人不得向中标人提出任何不合理的要求作为签订合同的条件。</w:t>
      </w:r>
    </w:p>
    <w:p w14:paraId="13DB3E5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8.4.2 中标通知书发出后，采购人不得违法改变中标结果，中标人无正当理由不得放弃中标。</w:t>
      </w:r>
    </w:p>
    <w:p w14:paraId="24E950FC">
      <w:pPr>
        <w:pStyle w:val="3"/>
        <w:spacing w:before="0" w:after="0" w:line="360" w:lineRule="auto"/>
        <w:rPr>
          <w:rFonts w:hint="eastAsia" w:ascii="宋体" w:hAnsi="宋体" w:eastAsia="宋体" w:cs="宋体"/>
          <w:color w:val="auto"/>
          <w:sz w:val="28"/>
          <w:szCs w:val="28"/>
          <w:highlight w:val="none"/>
        </w:rPr>
      </w:pPr>
      <w:bookmarkStart w:id="170" w:name="_Toc31137"/>
      <w:bookmarkEnd w:id="170"/>
      <w:bookmarkStart w:id="171" w:name="_Toc20692"/>
      <w:bookmarkEnd w:id="171"/>
      <w:bookmarkStart w:id="172" w:name="_Toc11854"/>
      <w:bookmarkEnd w:id="172"/>
      <w:bookmarkStart w:id="173" w:name="_Toc29934"/>
      <w:bookmarkStart w:id="174" w:name="_Toc13313"/>
      <w:r>
        <w:rPr>
          <w:rFonts w:hint="eastAsia" w:ascii="宋体" w:hAnsi="宋体" w:eastAsia="宋体" w:cs="宋体"/>
          <w:color w:val="auto"/>
          <w:sz w:val="28"/>
          <w:szCs w:val="28"/>
          <w:highlight w:val="none"/>
        </w:rPr>
        <w:t>9. 询问与答复</w:t>
      </w:r>
      <w:bookmarkEnd w:id="173"/>
    </w:p>
    <w:p w14:paraId="217E231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凡对本次招标采购活动事项有疑问的，可以向采购代理机构提出询问，采购代理机构将及时作出答复，但答复的内容不得涉及商业秘密。</w:t>
      </w:r>
    </w:p>
    <w:p w14:paraId="2E2CEB89">
      <w:pPr>
        <w:pStyle w:val="3"/>
        <w:numPr>
          <w:ilvl w:val="0"/>
          <w:numId w:val="1"/>
        </w:numPr>
        <w:spacing w:before="0" w:after="0" w:line="360" w:lineRule="auto"/>
        <w:rPr>
          <w:rFonts w:hint="eastAsia" w:ascii="宋体" w:hAnsi="宋体" w:eastAsia="宋体" w:cs="宋体"/>
          <w:color w:val="auto"/>
          <w:sz w:val="28"/>
          <w:szCs w:val="28"/>
          <w:highlight w:val="none"/>
        </w:rPr>
      </w:pPr>
      <w:bookmarkStart w:id="175" w:name="_Toc22913"/>
      <w:bookmarkStart w:id="176" w:name="_Toc5396"/>
      <w:bookmarkStart w:id="177" w:name="_Toc20594"/>
      <w:r>
        <w:rPr>
          <w:rFonts w:hint="eastAsia" w:ascii="宋体" w:hAnsi="宋体" w:eastAsia="宋体" w:cs="宋体"/>
          <w:color w:val="auto"/>
          <w:sz w:val="28"/>
          <w:szCs w:val="28"/>
          <w:highlight w:val="none"/>
        </w:rPr>
        <w:t>质疑接收、回复</w:t>
      </w:r>
      <w:bookmarkEnd w:id="175"/>
      <w:bookmarkEnd w:id="176"/>
    </w:p>
    <w:p w14:paraId="47D63592">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   10.1质疑接收</w:t>
      </w:r>
    </w:p>
    <w:p w14:paraId="41D7D17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10.1.1 投标人认为招标文件、招标过程和中标结果使自己的权益受到损害的，可以根据《中华人民共和国政府采购法》《中华人民共和国政府采购法实施条例》和《政府采购质疑和投诉办法》的有关规定，依法向采购人或其委托的采购代理机构提出质疑。</w:t>
      </w:r>
    </w:p>
    <w:p w14:paraId="3223C6E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10.1.2 质疑投标人应按照财政部制定的《政府采购质疑函范本》格式和《政府采购质疑和投诉办法》的要求，在法定质疑期内书面形式提出质疑，针对同一采购程序环节的质疑应一次性提出。</w:t>
      </w:r>
    </w:p>
    <w:p w14:paraId="323460F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超出法定质疑期的、重复提出的、分次提出的或内容、形式不符合《政府采购质疑和投诉办法》的，质疑投标人将依法承担不利后果。</w:t>
      </w:r>
    </w:p>
    <w:p w14:paraId="17638D0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10.1.3采购代理机构接收质疑函的方式、联系部门、联系电话和通讯地址。</w:t>
      </w:r>
    </w:p>
    <w:p w14:paraId="05564253">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接收质疑函的方式：质疑函采取书面递交形式。</w:t>
      </w:r>
    </w:p>
    <w:p w14:paraId="5FCEC6C8">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投标人可以委托代理人进行质疑。其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4A28F4F">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代理人提出质疑，应当提交投标人签署的授权委托书。</w:t>
      </w:r>
    </w:p>
    <w:p w14:paraId="11B7BEF6">
      <w:pPr>
        <w:spacing w:line="360" w:lineRule="auto"/>
        <w:ind w:firstLine="480" w:firstLineChars="200"/>
        <w:rPr>
          <w:rFonts w:hint="eastAsia" w:ascii="宋体" w:hAnsi="宋体" w:cs="宋体"/>
          <w:color w:val="auto"/>
          <w:sz w:val="24"/>
          <w:szCs w:val="24"/>
          <w:highlight w:val="none"/>
        </w:rPr>
      </w:pPr>
      <w:r>
        <w:rPr>
          <w:rFonts w:hint="eastAsia" w:ascii="宋体" w:hAnsi="宋体"/>
          <w:color w:val="auto"/>
          <w:sz w:val="24"/>
          <w:szCs w:val="24"/>
          <w:highlight w:val="none"/>
        </w:rPr>
        <w:t>联系部门：</w:t>
      </w:r>
      <w:r>
        <w:rPr>
          <w:rFonts w:hint="eastAsia" w:ascii="宋体" w:hAnsi="宋体" w:cs="宋体"/>
          <w:color w:val="auto"/>
          <w:sz w:val="24"/>
          <w:szCs w:val="24"/>
          <w:highlight w:val="none"/>
        </w:rPr>
        <w:t>云南元大工程咨询有限责任公司业务</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二</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部项目</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六</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组。</w:t>
      </w:r>
    </w:p>
    <w:p w14:paraId="3E12F6FA">
      <w:pPr>
        <w:spacing w:line="360" w:lineRule="auto"/>
        <w:ind w:firstLine="480" w:firstLineChars="200"/>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联系电话：（0871）6333</w:t>
      </w:r>
      <w:r>
        <w:rPr>
          <w:rFonts w:hint="eastAsia" w:ascii="宋体" w:hAnsi="宋体" w:eastAsia="宋体" w:cs="Times New Roman"/>
          <w:color w:val="auto"/>
          <w:sz w:val="24"/>
          <w:szCs w:val="24"/>
          <w:highlight w:val="none"/>
          <w:lang w:val="en-US" w:eastAsia="zh-CN"/>
        </w:rPr>
        <w:t>5856</w:t>
      </w:r>
    </w:p>
    <w:p w14:paraId="1AEE7864">
      <w:pPr>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通讯地址：云南省昆明市盘龙区联盟路与万宏路交汇处万宏嘉园沣苑(地块三)B座15层（奥斯迪商务中心B座15楼）</w:t>
      </w:r>
    </w:p>
    <w:p w14:paraId="76A5C0D8">
      <w:pPr>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10.1.4不按上述要求提出的，采购人和采购代理机构将不予受理。</w:t>
      </w:r>
    </w:p>
    <w:p w14:paraId="7582951E">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10.2质疑回复</w:t>
      </w:r>
    </w:p>
    <w:p w14:paraId="2253168C">
      <w:pPr>
        <w:spacing w:line="360" w:lineRule="auto"/>
        <w:ind w:firstLine="480" w:firstLineChars="200"/>
        <w:rPr>
          <w:rFonts w:hint="eastAsia" w:ascii="宋体" w:hAnsi="宋体" w:cs="宋体"/>
          <w:color w:val="auto"/>
          <w:szCs w:val="22"/>
          <w:highlight w:val="none"/>
        </w:rPr>
      </w:pPr>
      <w:r>
        <w:rPr>
          <w:rFonts w:hint="eastAsia" w:ascii="宋体" w:hAnsi="宋体" w:cs="宋体"/>
          <w:color w:val="auto"/>
          <w:sz w:val="24"/>
          <w:szCs w:val="24"/>
          <w:highlight w:val="none"/>
        </w:rPr>
        <w:t>采购人或者招标代理机构应在收到质疑函后7个工作日内作出答复，并以书面形式通知质疑投标人和其他有关投标人，质疑答复的内容不得涉及商业秘密。</w:t>
      </w:r>
    </w:p>
    <w:p w14:paraId="7266434A">
      <w:pPr>
        <w:pStyle w:val="3"/>
        <w:keepNext w:val="0"/>
        <w:spacing w:before="0" w:after="0" w:line="360" w:lineRule="auto"/>
        <w:rPr>
          <w:rFonts w:hint="eastAsia" w:ascii="宋体" w:hAnsi="宋体" w:eastAsia="宋体" w:cs="宋体"/>
          <w:color w:val="auto"/>
          <w:sz w:val="28"/>
          <w:szCs w:val="28"/>
          <w:highlight w:val="none"/>
        </w:rPr>
      </w:pPr>
      <w:bookmarkStart w:id="178" w:name="_Toc32503"/>
      <w:bookmarkStart w:id="179" w:name="_Toc12453"/>
      <w:r>
        <w:rPr>
          <w:rFonts w:hint="eastAsia" w:ascii="宋体" w:hAnsi="宋体" w:eastAsia="宋体" w:cs="宋体"/>
          <w:color w:val="auto"/>
          <w:sz w:val="28"/>
          <w:szCs w:val="28"/>
          <w:highlight w:val="none"/>
        </w:rPr>
        <w:t>11. 纪律和监督</w:t>
      </w:r>
      <w:bookmarkEnd w:id="177"/>
      <w:bookmarkEnd w:id="178"/>
      <w:bookmarkEnd w:id="179"/>
    </w:p>
    <w:p w14:paraId="526A09D7">
      <w:pPr>
        <w:spacing w:line="360" w:lineRule="auto"/>
        <w:rPr>
          <w:rFonts w:hint="eastAsia" w:ascii="宋体" w:hAnsi="宋体" w:cs="宋体"/>
          <w:b/>
          <w:color w:val="auto"/>
          <w:sz w:val="24"/>
          <w:szCs w:val="24"/>
          <w:highlight w:val="none"/>
        </w:rPr>
      </w:pPr>
      <w:bookmarkStart w:id="180" w:name="_Toc453"/>
      <w:bookmarkEnd w:id="180"/>
      <w:bookmarkStart w:id="181" w:name="_Toc14990"/>
      <w:r>
        <w:rPr>
          <w:rFonts w:hint="eastAsia" w:ascii="宋体" w:hAnsi="宋体" w:cs="宋体"/>
          <w:b/>
          <w:color w:val="auto"/>
          <w:sz w:val="24"/>
          <w:szCs w:val="24"/>
          <w:highlight w:val="none"/>
        </w:rPr>
        <w:t>11.1 对采购人的纪律要求</w:t>
      </w:r>
      <w:bookmarkEnd w:id="181"/>
    </w:p>
    <w:p w14:paraId="18D235D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(1)按照《政府采购货物和服务招标投标管理办法》(财政部令第87号)的规定编制采购需求；</w:t>
      </w:r>
    </w:p>
    <w:p w14:paraId="03ECE45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(2)采购人不得向投标人索要或者接受其给予的赠品、回扣或者与采购无关的其他商品、服务；</w:t>
      </w:r>
    </w:p>
    <w:p w14:paraId="35F1F67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(3)在规定时间内确定中标人；</w:t>
      </w:r>
    </w:p>
    <w:p w14:paraId="460880A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(4)不得向中标人提出不合理要求作为签订合同条件。</w:t>
      </w:r>
    </w:p>
    <w:p w14:paraId="499599F4">
      <w:pPr>
        <w:spacing w:line="360" w:lineRule="auto"/>
        <w:rPr>
          <w:rFonts w:hint="eastAsia" w:ascii="宋体" w:hAnsi="宋体" w:cs="宋体"/>
          <w:b/>
          <w:color w:val="auto"/>
          <w:sz w:val="24"/>
          <w:szCs w:val="24"/>
          <w:highlight w:val="none"/>
        </w:rPr>
      </w:pPr>
      <w:bookmarkStart w:id="182" w:name="_Toc20446"/>
      <w:bookmarkEnd w:id="182"/>
      <w:bookmarkStart w:id="183" w:name="_Toc14876"/>
      <w:r>
        <w:rPr>
          <w:rFonts w:hint="eastAsia" w:ascii="宋体" w:hAnsi="宋体" w:cs="宋体"/>
          <w:b/>
          <w:color w:val="auto"/>
          <w:sz w:val="24"/>
          <w:szCs w:val="24"/>
          <w:highlight w:val="none"/>
        </w:rPr>
        <w:t>11.2 对投标人的纪律要求</w:t>
      </w:r>
      <w:bookmarkEnd w:id="183"/>
    </w:p>
    <w:p w14:paraId="00ADB74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投标人不得相互串通投标或者与采购人串通投标，不得向采购人或者评标委员会成员行贿谋取中标，不得以他人名义投标或者以其它方式弄虚作假骗取中标；投标人不得以任何方式干扰、影响评标工作。</w:t>
      </w:r>
    </w:p>
    <w:p w14:paraId="369FDA25">
      <w:pPr>
        <w:spacing w:line="360" w:lineRule="auto"/>
        <w:rPr>
          <w:rFonts w:hint="eastAsia" w:ascii="宋体" w:hAnsi="宋体" w:cs="宋体"/>
          <w:b/>
          <w:color w:val="auto"/>
          <w:sz w:val="24"/>
          <w:szCs w:val="24"/>
          <w:highlight w:val="none"/>
        </w:rPr>
      </w:pPr>
      <w:bookmarkStart w:id="184" w:name="_Toc17796"/>
      <w:bookmarkEnd w:id="184"/>
      <w:bookmarkStart w:id="185" w:name="_Toc29247"/>
      <w:r>
        <w:rPr>
          <w:rFonts w:hint="eastAsia" w:ascii="宋体" w:hAnsi="宋体" w:cs="宋体"/>
          <w:b/>
          <w:color w:val="auto"/>
          <w:sz w:val="24"/>
          <w:szCs w:val="24"/>
          <w:highlight w:val="none"/>
        </w:rPr>
        <w:t>11.3 对评标委员会成员的纪律要求</w:t>
      </w:r>
      <w:bookmarkEnd w:id="185"/>
    </w:p>
    <w:p w14:paraId="5F283A4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评标委员会及其成员不得有下列行为：</w:t>
      </w:r>
    </w:p>
    <w:p w14:paraId="51631D1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(1)确定参与评标至评标结束前私自接触投标人；</w:t>
      </w:r>
    </w:p>
    <w:p w14:paraId="74B8F29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(2)接受投标人提出的与投标文件不一致的澄清或者说明；</w:t>
      </w:r>
    </w:p>
    <w:p w14:paraId="7655FE6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(3)违反评标纪律发表倾向性意见或者征询采购人的倾向性意见；</w:t>
      </w:r>
    </w:p>
    <w:p w14:paraId="750981E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(4)对需要专业判断的主观评审因素协商评分；</w:t>
      </w:r>
    </w:p>
    <w:p w14:paraId="0BDE8683">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(5)在评标过程中擅离职守，影响评标程序正常进行的；</w:t>
      </w:r>
    </w:p>
    <w:p w14:paraId="31D11DD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(6)记录、复制或者带走任何评标资料；</w:t>
      </w:r>
    </w:p>
    <w:p w14:paraId="7168574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(7)其他不遵守评标纪律的行为。</w:t>
      </w:r>
    </w:p>
    <w:p w14:paraId="779B417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评标委员会成员有前款第(1)至(7)项行为之一的，其评审意见无效，并不得获取评审劳务报酬和报销异地评审差旅费。</w:t>
      </w:r>
    </w:p>
    <w:p w14:paraId="35FC7A8F">
      <w:pPr>
        <w:spacing w:line="360" w:lineRule="auto"/>
        <w:rPr>
          <w:rFonts w:hint="eastAsia" w:ascii="宋体" w:hAnsi="宋体" w:cs="宋体"/>
          <w:b/>
          <w:color w:val="auto"/>
          <w:sz w:val="24"/>
          <w:szCs w:val="24"/>
          <w:highlight w:val="none"/>
        </w:rPr>
      </w:pPr>
      <w:bookmarkStart w:id="186" w:name="_Toc22639"/>
      <w:bookmarkEnd w:id="186"/>
      <w:bookmarkStart w:id="187" w:name="_Toc5153"/>
      <w:r>
        <w:rPr>
          <w:rFonts w:hint="eastAsia" w:ascii="宋体" w:hAnsi="宋体" w:cs="宋体"/>
          <w:b/>
          <w:color w:val="auto"/>
          <w:sz w:val="24"/>
          <w:szCs w:val="24"/>
          <w:highlight w:val="none"/>
        </w:rPr>
        <w:t>11.4 对与评标活动有关的工作人员的纪律要求</w:t>
      </w:r>
      <w:bookmarkEnd w:id="187"/>
    </w:p>
    <w:p w14:paraId="2228B5A3">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D4B1CE7">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11.5廉洁自律规定</w:t>
      </w:r>
    </w:p>
    <w:p w14:paraId="35A8BD8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（1）采购代理机构工作人员不得以不正当手段获取政府采购代理业务，不得与采购人、投标人恶意串通操纵政府采购活动。</w:t>
      </w:r>
    </w:p>
    <w:p w14:paraId="46BC252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（2）采购代理机构工作人员不得接受采购人或者投标人组织的宴请、旅游、娱乐，不得收受礼品、现金、有价证券等，不得向采购人或者投标人报销应当由个人承担的费用。</w:t>
      </w:r>
    </w:p>
    <w:p w14:paraId="70CE875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采购人在政府采购活动中应当维护国家利益和社会公共利益，公正廉洁，诚实守信，不得向投标人索要或者接受其给予的赠品、回扣或者与采购无关的其他商品、服务；不得私下接触或收受参与政府采购活动的投标人及有利害关系人的财物或者其它不正当利益；不得与投标人、采购代理机构、评标专家等串通，收受投标人贿赂和谋取其它不正当利益；不得以政府采购名义从事有损政府采购形象的其他活动。</w:t>
      </w:r>
    </w:p>
    <w:p w14:paraId="398928E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投标人应公平竞争、诚实守信，不得采取不正当手段抵毁、排挤其他投标人，不得提供虚假材料谋取中标或成交；不得向采购人、采购代理机构及其工作人员和评审人员贿赂，或采取其它不正当手段谋取中标或成交；不得与采购人、其它投标人和采购代理机构串通或恶意报价，哄抬采购价格；不得在招标过程中与采购组织机构协商谈判。</w:t>
      </w:r>
    </w:p>
    <w:p w14:paraId="03F8A333">
      <w:pPr>
        <w:pStyle w:val="3"/>
        <w:keepNext w:val="0"/>
        <w:spacing w:before="0" w:after="0" w:line="360" w:lineRule="auto"/>
        <w:rPr>
          <w:rFonts w:hint="eastAsia" w:ascii="宋体" w:hAnsi="宋体" w:eastAsia="宋体" w:cs="宋体"/>
          <w:color w:val="auto"/>
          <w:sz w:val="28"/>
          <w:szCs w:val="28"/>
          <w:highlight w:val="none"/>
        </w:rPr>
      </w:pPr>
      <w:bookmarkStart w:id="188" w:name="_Toc11291"/>
      <w:bookmarkEnd w:id="188"/>
      <w:bookmarkStart w:id="189" w:name="_Toc11354"/>
      <w:bookmarkEnd w:id="189"/>
      <w:bookmarkStart w:id="190" w:name="_Toc3960"/>
      <w:bookmarkEnd w:id="190"/>
      <w:bookmarkStart w:id="191" w:name="_Toc19873"/>
      <w:bookmarkEnd w:id="191"/>
      <w:bookmarkStart w:id="192" w:name="_Toc18697"/>
      <w:bookmarkEnd w:id="192"/>
      <w:bookmarkStart w:id="193" w:name="_Toc27343"/>
      <w:bookmarkStart w:id="194" w:name="_Toc14857"/>
      <w:bookmarkStart w:id="195" w:name="_Toc22793"/>
      <w:r>
        <w:rPr>
          <w:rFonts w:hint="eastAsia" w:ascii="宋体" w:hAnsi="宋体" w:eastAsia="宋体" w:cs="宋体"/>
          <w:color w:val="auto"/>
          <w:sz w:val="28"/>
          <w:szCs w:val="28"/>
          <w:highlight w:val="none"/>
        </w:rPr>
        <w:t>12. 需要补充的其他内容</w:t>
      </w:r>
      <w:bookmarkEnd w:id="193"/>
      <w:bookmarkEnd w:id="194"/>
      <w:bookmarkEnd w:id="195"/>
    </w:p>
    <w:p w14:paraId="5CA21A64">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需要补充的其他内容：见投标人须知前附表。</w:t>
      </w:r>
    </w:p>
    <w:p w14:paraId="3EF1B09B">
      <w:pPr>
        <w:spacing w:line="240" w:lineRule="exact"/>
        <w:rPr>
          <w:rFonts w:hint="eastAsia" w:ascii="宋体" w:hAnsi="宋体" w:cs="宋体"/>
          <w:color w:val="auto"/>
          <w:highlight w:val="none"/>
        </w:rPr>
      </w:pPr>
      <w:r>
        <w:rPr>
          <w:rFonts w:hint="eastAsia" w:ascii="宋体" w:hAnsi="宋体" w:cs="宋体"/>
          <w:color w:val="auto"/>
          <w:sz w:val="32"/>
          <w:szCs w:val="32"/>
          <w:highlight w:val="none"/>
        </w:rPr>
        <w:br w:type="page"/>
      </w:r>
    </w:p>
    <w:bookmarkEnd w:id="174"/>
    <w:p w14:paraId="54431AFA">
      <w:pPr>
        <w:spacing w:line="240" w:lineRule="exact"/>
        <w:rPr>
          <w:rFonts w:hint="eastAsia" w:ascii="宋体" w:hAnsi="宋体" w:cs="宋体"/>
          <w:color w:val="auto"/>
          <w:highlight w:val="none"/>
        </w:rPr>
      </w:pPr>
      <w:bookmarkStart w:id="196" w:name="_Toc21356"/>
      <w:bookmarkEnd w:id="196"/>
      <w:bookmarkStart w:id="197" w:name="_Toc2268"/>
    </w:p>
    <w:bookmarkEnd w:id="197"/>
    <w:p w14:paraId="73849373">
      <w:pPr>
        <w:pStyle w:val="2"/>
        <w:spacing w:before="0" w:after="0" w:line="360" w:lineRule="auto"/>
        <w:jc w:val="center"/>
        <w:rPr>
          <w:rFonts w:hint="eastAsia" w:ascii="宋体" w:hAnsi="宋体" w:cs="宋体"/>
          <w:color w:val="auto"/>
          <w:highlight w:val="none"/>
        </w:rPr>
      </w:pPr>
      <w:bookmarkStart w:id="198" w:name="_Toc32052"/>
      <w:bookmarkStart w:id="199" w:name="_Toc21246"/>
      <w:r>
        <w:rPr>
          <w:rFonts w:hint="eastAsia" w:ascii="宋体" w:hAnsi="宋体" w:cs="宋体"/>
          <w:color w:val="auto"/>
          <w:highlight w:val="none"/>
        </w:rPr>
        <w:t>第三章 资格审查</w:t>
      </w:r>
      <w:bookmarkEnd w:id="198"/>
      <w:bookmarkEnd w:id="199"/>
    </w:p>
    <w:p w14:paraId="1CACD781">
      <w:pPr>
        <w:pStyle w:val="29"/>
        <w:spacing w:before="0" w:beforeAutospacing="0" w:after="0" w:afterAutospacing="0" w:line="360" w:lineRule="auto"/>
        <w:ind w:firstLine="480" w:firstLineChars="200"/>
        <w:jc w:val="both"/>
        <w:rPr>
          <w:rFonts w:hint="eastAsia" w:ascii="宋体" w:hAnsi="宋体"/>
          <w:color w:val="auto"/>
          <w:highlight w:val="none"/>
        </w:rPr>
      </w:pPr>
      <w:r>
        <w:rPr>
          <w:rFonts w:hint="eastAsia" w:ascii="宋体" w:hAnsi="宋体"/>
          <w:color w:val="auto"/>
          <w:highlight w:val="none"/>
        </w:rPr>
        <w:t>公开招标采购项目开标结束后，采购人(和/或)采购代理机构依法对投标人的资格进行审查。合格投标人不足3家的，不得评标。</w:t>
      </w:r>
    </w:p>
    <w:p w14:paraId="1FFA934E">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资格审查：采购人(和/或)采购代理机构依据法律法规和招标文件的规定，对投标文件中“证明投标人的资格文件”进行审查，以确定投标人是否具备投标资格。只有通过资格审查的投标文件才能进入评标。</w:t>
      </w:r>
    </w:p>
    <w:p w14:paraId="2C866A09">
      <w:pPr>
        <w:pStyle w:val="13"/>
        <w:spacing w:line="360" w:lineRule="auto"/>
        <w:ind w:firstLine="0"/>
        <w:jc w:val="center"/>
        <w:rPr>
          <w:rFonts w:hint="eastAsia" w:ascii="宋体" w:hAnsi="宋体"/>
          <w:b/>
          <w:bCs/>
          <w:color w:val="auto"/>
          <w:sz w:val="28"/>
          <w:szCs w:val="28"/>
          <w:highlight w:val="none"/>
        </w:rPr>
      </w:pPr>
      <w:r>
        <w:rPr>
          <w:rFonts w:hint="eastAsia" w:ascii="宋体" w:hAnsi="宋体"/>
          <w:b/>
          <w:bCs/>
          <w:color w:val="auto"/>
          <w:sz w:val="28"/>
          <w:szCs w:val="28"/>
          <w:highlight w:val="none"/>
        </w:rPr>
        <w:t>资格审查标准</w:t>
      </w:r>
    </w:p>
    <w:p w14:paraId="5CFAB0B7">
      <w:pPr>
        <w:widowControl w:val="0"/>
        <w:spacing w:line="360" w:lineRule="auto"/>
        <w:ind w:firstLine="480" w:firstLineChars="200"/>
        <w:jc w:val="both"/>
        <w:rPr>
          <w:rFonts w:hint="eastAsia" w:ascii="宋体" w:hAnsi="宋体" w:cs="宋体"/>
          <w:color w:val="auto"/>
          <w:kern w:val="2"/>
          <w:sz w:val="24"/>
          <w:szCs w:val="24"/>
          <w:highlight w:val="none"/>
          <w:lang w:bidi="ar"/>
        </w:rPr>
      </w:pPr>
      <w:bookmarkStart w:id="200" w:name="_Toc5266"/>
      <w:r>
        <w:rPr>
          <w:rFonts w:hint="eastAsia" w:ascii="宋体" w:hAnsi="宋体" w:cs="宋体"/>
          <w:color w:val="auto"/>
          <w:kern w:val="2"/>
          <w:sz w:val="24"/>
          <w:szCs w:val="24"/>
          <w:highlight w:val="none"/>
          <w:lang w:bidi="ar"/>
        </w:rPr>
        <w:t>1.满足《中华人民共和国政府采购法》第二十二条规定；</w:t>
      </w:r>
    </w:p>
    <w:p w14:paraId="25C05FF0">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1.1具有独立承担民事责任的能力。提供法人或者其他组织的营业执照等证明文件。</w:t>
      </w:r>
    </w:p>
    <w:p w14:paraId="2A78EBF9">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1.2具有良好的商业信誉和健全的财务会计制度。投标人须提供财务状况报告，内容可为以下两者之一：</w:t>
      </w:r>
    </w:p>
    <w:p w14:paraId="4248DF1C">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①提供2023年或2024年经审计的财务报告（包括资产负债表、利润表、现金流量表、所有者权益变动表及其附注），新成立不满</w:t>
      </w:r>
      <w:r>
        <w:rPr>
          <w:rFonts w:hint="eastAsia" w:ascii="宋体" w:hAnsi="宋体" w:cs="宋体"/>
          <w:color w:val="auto"/>
          <w:kern w:val="2"/>
          <w:sz w:val="24"/>
          <w:szCs w:val="24"/>
          <w:highlight w:val="none"/>
          <w:u w:val="single"/>
          <w:lang w:bidi="ar"/>
        </w:rPr>
        <w:t>1</w:t>
      </w:r>
      <w:r>
        <w:rPr>
          <w:rFonts w:hint="eastAsia" w:ascii="宋体" w:hAnsi="宋体" w:cs="宋体"/>
          <w:color w:val="auto"/>
          <w:kern w:val="2"/>
          <w:sz w:val="24"/>
          <w:szCs w:val="24"/>
          <w:highlight w:val="none"/>
          <w:lang w:bidi="ar"/>
        </w:rPr>
        <w:t>年的投标人提供自成立至今的财务报表；</w:t>
      </w:r>
    </w:p>
    <w:p w14:paraId="0DB10E9B">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②提供自投标文件提交截止时间前三个月内基本开户银行出具的资信证明。</w:t>
      </w:r>
    </w:p>
    <w:p w14:paraId="6888012E">
      <w:pPr>
        <w:widowControl w:val="0"/>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1.3具有履行合同所必需的设备和专业技术能力。提供具备履行合同所必需的设备和专业技术能力的证明材料。</w:t>
      </w:r>
    </w:p>
    <w:p w14:paraId="7EEE101B">
      <w:pPr>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1.4有依法缴纳税收和社会保障资金的良好记录。</w:t>
      </w:r>
      <w:r>
        <w:rPr>
          <w:rFonts w:hint="eastAsia" w:ascii="宋体" w:hAnsi="宋体" w:cs="宋体"/>
          <w:color w:val="auto"/>
          <w:sz w:val="24"/>
          <w:szCs w:val="24"/>
          <w:highlight w:val="none"/>
        </w:rPr>
        <w:t>提供2024年7月至今任意2个月依法缴纳税收和缴纳社会保障资金的证明（成立未满2个月的提供成立以来的税收和社会保障资金缴纳凭据；依法免税或不需要缴纳社会保障资金的投标人，应提供相应文件证明其依法免税或不需要缴纳社会保障资金）。</w:t>
      </w:r>
    </w:p>
    <w:p w14:paraId="6AFC2BE4">
      <w:pP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1.5参加政府采购活动前三年内，在经营活动中没有重大违法记录。提供参加政府采购活动前三年内在经营活动中没有重大违法记录的书面声明。</w:t>
      </w:r>
    </w:p>
    <w:p w14:paraId="2B011F31">
      <w:pPr>
        <w:spacing w:line="360" w:lineRule="auto"/>
        <w:ind w:firstLine="465"/>
        <w:rPr>
          <w:rFonts w:hint="eastAsia" w:ascii="宋体" w:hAnsi="宋体" w:cs="宋体"/>
          <w:color w:val="auto"/>
          <w:sz w:val="24"/>
          <w:szCs w:val="24"/>
          <w:highlight w:val="none"/>
        </w:rPr>
      </w:pPr>
      <w:r>
        <w:rPr>
          <w:rFonts w:hint="eastAsia" w:ascii="宋体" w:hAnsi="宋体" w:cs="宋体"/>
          <w:color w:val="auto"/>
          <w:sz w:val="24"/>
          <w:szCs w:val="24"/>
          <w:highlight w:val="none"/>
        </w:rPr>
        <w:t>1.6法律、行政法规规定的其他条件。</w:t>
      </w:r>
    </w:p>
    <w:p w14:paraId="7A8C9F43">
      <w:pP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1.6.1单位负责人为同一人或者存在直接控股、管理关系的不同投标人，不得参加同一合同项下的政府采购活动。</w:t>
      </w:r>
    </w:p>
    <w:p w14:paraId="3D602FA0">
      <w:pP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1.6.2投标人应在“信用中国”网站(www.creditchina.gov.cn)未被列入失信被执行人记录(按网站要求链接到中国执行信息网(http：//zxgk.court.gov.cn/shixin/)查询)、重大税收违法失信主体且在中国政府采购网(www.ccgp.gov.cn)没有政府采购严重违法失信行为记录(被禁止在一定期限内参加政府采购活动但期限届满的除外)。(采购人、采购代理机构通过“信用中国网”、“中国执行信息网”、“中国政府采购网”等渠道查询相关主体信用记录)。</w:t>
      </w:r>
    </w:p>
    <w:p w14:paraId="10CAD2A1">
      <w:pPr>
        <w:widowControl w:val="0"/>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highlight w:val="none"/>
          <w:lang w:bidi="ar"/>
        </w:rPr>
        <w:t>2.落实政府采购政策需满足的资格要求</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无</w:t>
      </w:r>
      <w:r>
        <w:rPr>
          <w:rFonts w:hint="eastAsia" w:ascii="宋体" w:hAnsi="宋体" w:cs="宋体"/>
          <w:color w:val="auto"/>
          <w:sz w:val="24"/>
          <w:szCs w:val="24"/>
          <w:highlight w:val="none"/>
        </w:rPr>
        <w:t>。</w:t>
      </w:r>
    </w:p>
    <w:p w14:paraId="3E3A21A8">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3.本项目的特定资格要求：</w:t>
      </w:r>
    </w:p>
    <w:p w14:paraId="1E4282A0">
      <w:pPr>
        <w:widowControl w:val="0"/>
        <w:spacing w:line="360" w:lineRule="auto"/>
        <w:ind w:firstLine="480" w:firstLineChars="200"/>
        <w:jc w:val="both"/>
        <w:rPr>
          <w:rFonts w:hint="eastAsia"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3.1投标人如果是代理商或经销商须提供：①医疗器械经营许可证/备案；②所投产品制造商医疗器械生产许可证(制造商工商注册地在中华人民共和国境外的，不做此要求)；③所投产品的医疗器械注册证及附件。</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244096B3">
      <w:pPr>
        <w:widowControl w:val="0"/>
        <w:spacing w:line="360" w:lineRule="auto"/>
        <w:ind w:firstLine="480" w:firstLineChars="200"/>
        <w:jc w:val="both"/>
        <w:rPr>
          <w:rFonts w:hint="eastAsia"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3.2投标人如果是制造商须提供：①医疗器械生产许可证(制造商工商注册地在中华人民共和国境外的，不做此要求)；②所投产品的医疗器械注册证及附件。</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68AF3B1F">
      <w:pPr>
        <w:widowControl w:val="0"/>
        <w:spacing w:line="360" w:lineRule="auto"/>
        <w:ind w:firstLine="480" w:firstLineChars="200"/>
        <w:jc w:val="both"/>
        <w:rPr>
          <w:rFonts w:hint="eastAsia"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3.3医疗器械生产或医疗器械经营许可证范围须覆盖所投第二、三类医疗器械(根据中华人民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6A3BF8E1">
      <w:pPr>
        <w:widowControl w:val="0"/>
        <w:spacing w:line="360" w:lineRule="auto"/>
        <w:ind w:firstLine="480" w:firstLineChars="200"/>
        <w:jc w:val="both"/>
        <w:rPr>
          <w:rFonts w:ascii="宋体" w:hAnsi="宋体" w:cs="宋体"/>
          <w:color w:val="auto"/>
          <w:kern w:val="2"/>
          <w:sz w:val="24"/>
          <w:szCs w:val="24"/>
          <w:highlight w:val="none"/>
          <w:lang w:bidi="ar"/>
        </w:rPr>
      </w:pPr>
      <w:r>
        <w:rPr>
          <w:rFonts w:hint="eastAsia" w:ascii="宋体" w:hAnsi="宋体" w:cs="宋体"/>
          <w:color w:val="auto"/>
          <w:kern w:val="2"/>
          <w:sz w:val="24"/>
          <w:szCs w:val="24"/>
          <w:highlight w:val="none"/>
          <w:lang w:val="en-US" w:eastAsia="zh-CN" w:bidi="ar"/>
        </w:rPr>
        <w:t>3.4本项目不接受联合体投标。</w:t>
      </w:r>
    </w:p>
    <w:p w14:paraId="0AF6D248">
      <w:pPr>
        <w:widowControl w:val="0"/>
        <w:spacing w:line="360" w:lineRule="auto"/>
        <w:ind w:firstLine="480" w:firstLineChars="200"/>
        <w:jc w:val="both"/>
        <w:rPr>
          <w:rFonts w:hint="eastAsia" w:ascii="宋体" w:hAnsi="宋体" w:cs="宋体"/>
          <w:color w:val="auto"/>
          <w:kern w:val="2"/>
          <w:sz w:val="24"/>
          <w:szCs w:val="24"/>
          <w:highlight w:val="none"/>
          <w:lang w:bidi="ar"/>
        </w:rPr>
      </w:pPr>
    </w:p>
    <w:p w14:paraId="3F17BE7A">
      <w:pPr>
        <w:rPr>
          <w:rFonts w:hint="eastAsia" w:ascii="宋体" w:hAnsi="宋体" w:eastAsia="宋体" w:cs="宋体"/>
          <w:b/>
          <w:bCs/>
          <w:color w:val="auto"/>
          <w:kern w:val="2"/>
          <w:sz w:val="30"/>
          <w:szCs w:val="30"/>
          <w:highlight w:val="none"/>
          <w:lang w:val="en-US" w:eastAsia="zh-CN" w:bidi="ar"/>
        </w:rPr>
      </w:pPr>
      <w:r>
        <w:rPr>
          <w:rFonts w:hint="eastAsia" w:ascii="宋体" w:hAnsi="宋体" w:eastAsia="宋体" w:cs="宋体"/>
          <w:b/>
          <w:bCs/>
          <w:color w:val="auto"/>
          <w:kern w:val="2"/>
          <w:sz w:val="30"/>
          <w:szCs w:val="30"/>
          <w:highlight w:val="none"/>
          <w:lang w:val="en-US" w:eastAsia="zh-CN" w:bidi="ar"/>
        </w:rPr>
        <w:br w:type="page"/>
      </w:r>
    </w:p>
    <w:p w14:paraId="2414AD13">
      <w:pPr>
        <w:pStyle w:val="2"/>
        <w:spacing w:before="0" w:after="0" w:line="360" w:lineRule="auto"/>
        <w:jc w:val="center"/>
        <w:rPr>
          <w:rFonts w:hint="eastAsia" w:ascii="宋体" w:hAnsi="宋体" w:cs="宋体"/>
          <w:color w:val="auto"/>
          <w:highlight w:val="none"/>
        </w:rPr>
      </w:pPr>
      <w:bookmarkStart w:id="201" w:name="_Toc5659"/>
      <w:r>
        <w:rPr>
          <w:rFonts w:hint="eastAsia" w:ascii="宋体" w:hAnsi="宋体" w:cs="宋体"/>
          <w:color w:val="auto"/>
          <w:highlight w:val="none"/>
        </w:rPr>
        <w:t>第四章 评标办法(综合评分法)</w:t>
      </w:r>
      <w:bookmarkEnd w:id="200"/>
      <w:bookmarkEnd w:id="201"/>
    </w:p>
    <w:p w14:paraId="6FF04FD9">
      <w:pPr>
        <w:spacing w:line="500" w:lineRule="exact"/>
        <w:ind w:firstLine="482" w:firstLineChars="200"/>
        <w:jc w:val="both"/>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一、评标机构</w:t>
      </w:r>
    </w:p>
    <w:p w14:paraId="046AA335">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评标机构为评标委员会，评标委员会的组成见投标人须知前附表7.1.1。</w:t>
      </w:r>
    </w:p>
    <w:p w14:paraId="42BB6E40">
      <w:pPr>
        <w:spacing w:line="5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二、采购人或者采购代理机构职责</w:t>
      </w:r>
    </w:p>
    <w:p w14:paraId="135092DC">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采购人或者采购代理机构负责组织评标工作，并履行下列职责：</w:t>
      </w:r>
    </w:p>
    <w:p w14:paraId="0753069F">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(一)核对评审专家身份和采购人代表授权函，对评审专家在政府采购活动中的职责履行情况予以记录，并及时将有关违法违规行为向财政部门报告。</w:t>
      </w:r>
    </w:p>
    <w:p w14:paraId="6FFF3BE2">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(二)宣布评标纪律。</w:t>
      </w:r>
    </w:p>
    <w:p w14:paraId="29607543">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(三)公布投标人名单，告知评审专家应当回避的情形。</w:t>
      </w:r>
    </w:p>
    <w:p w14:paraId="2610DC9A">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(四)组织评标委员会推选评标组长，采购人代表不得担任组长。</w:t>
      </w:r>
    </w:p>
    <w:p w14:paraId="642F7529">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(五)在评标期间采取必要的通讯管理措施，保证评标活动不受外界干扰。</w:t>
      </w:r>
    </w:p>
    <w:p w14:paraId="6DE0A177">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(六)根据评标委员会的要求介绍政府采购相关政策法规、招标文件。</w:t>
      </w:r>
    </w:p>
    <w:p w14:paraId="68CF382E">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(七)维护评标秩序，监督评标委员会依照招标文件规定的评标程序、方法和标准进行独立评审，及时制止和纠正采购人代表、评审专家的倾向性言论或者违法违规行为。</w:t>
      </w:r>
    </w:p>
    <w:p w14:paraId="714FCC60">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(八)核对评标结果，有《政府采购货物和服务招标投标管理办法》（财政部第87号令）第六十四条规定情形的，要求评标委员会复核或者书面说明理由，评标委员会拒绝的，应予记录并向本级财政部门报告。</w:t>
      </w:r>
    </w:p>
    <w:p w14:paraId="5BF7A380">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(九)评审工作完成后，按照规定向评审专家支付劳务报酬和异地评审差旅费，不得向评审专家以外的其他人员支付评审劳务报酬。</w:t>
      </w:r>
    </w:p>
    <w:p w14:paraId="1717220C">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(十)处理与评标有关的其他事项。</w:t>
      </w:r>
    </w:p>
    <w:p w14:paraId="72DC4B0E">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采购人可以在评标前说明项目背景和采购需求，说明内容不得含有歧视性、倾向性意见，不得超出招标文件所述范围。说明应当提交书面材料，并随采购文件一并存档。</w:t>
      </w:r>
    </w:p>
    <w:p w14:paraId="1AF3E0C9">
      <w:pPr>
        <w:spacing w:line="5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三、评标委员会职责</w:t>
      </w:r>
    </w:p>
    <w:p w14:paraId="05942EB9">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评标委员会负责具体评标事务，并独立履行下列职责：</w:t>
      </w:r>
    </w:p>
    <w:p w14:paraId="6414A6E1">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(一)审查、评价投标文件是否符合招标文件的商务、技术等实质性要求。</w:t>
      </w:r>
    </w:p>
    <w:p w14:paraId="1B7D51FE">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(二)要求投标人对投标文件有关事项作出澄清或者说明。</w:t>
      </w:r>
    </w:p>
    <w:p w14:paraId="3753DAF5">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(三)对投标文件进行比较和评价。</w:t>
      </w:r>
    </w:p>
    <w:p w14:paraId="37253421">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(四)确定中标候选人名单，以及根据采购人委托直接确定中标人。</w:t>
      </w:r>
    </w:p>
    <w:p w14:paraId="59F3F3F3">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(五)向采购人、采购代理机构或者有关部门报告评标中发现的违法行为。</w:t>
      </w:r>
    </w:p>
    <w:p w14:paraId="67D1D36E">
      <w:pPr>
        <w:pStyle w:val="13"/>
        <w:spacing w:line="5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四、评标纪律</w:t>
      </w:r>
    </w:p>
    <w:p w14:paraId="55B8AC1C">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(一)对评标内容和评标过程要严格保密，不得向投标人或与该过程无关的其它人员泄露。</w:t>
      </w:r>
    </w:p>
    <w:p w14:paraId="0542697C">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(二)评标期间的一切资料，包括评标意见、评标记录和评标结论，一律不得向外传和泄露。</w:t>
      </w:r>
    </w:p>
    <w:p w14:paraId="0EDDE5F4">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(三)任何属于投标文件审查、澄清、评价和比较的资料，不得向投标人或与该过程无关的其它人员泄露。</w:t>
      </w:r>
    </w:p>
    <w:p w14:paraId="4D8B3A48">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(四)所有资料(包括招标文件、投标文件、评标表格及各种文字记录)在评标结束后均应分别整理、存档备查，任何人不得复制和保留。</w:t>
      </w:r>
    </w:p>
    <w:p w14:paraId="7D82F26F">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(五)评标期间，未经允许评标委员会以外的任何单位或部门不得参加评标和采访评标工作。</w:t>
      </w:r>
    </w:p>
    <w:p w14:paraId="30F71B5E">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(六)评标期间，评标人员不得外出，确需外出时应事先请假。</w:t>
      </w:r>
    </w:p>
    <w:p w14:paraId="2F99C739">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(七)评标期间，所有与会人员均不得私自以任何方式和投标人进行联系，需询问、澄清的问题由评委会统一组织办理。</w:t>
      </w:r>
    </w:p>
    <w:p w14:paraId="741A1A4C">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(八)评标结束后，与会人员不得向外界透露评标人员的评标意见，如因此造成的后果由责任者承担。</w:t>
      </w:r>
    </w:p>
    <w:p w14:paraId="527712D9">
      <w:pPr>
        <w:spacing w:line="5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五、评标原则</w:t>
      </w:r>
    </w:p>
    <w:p w14:paraId="3058CA28">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评标将遵循下列原则：</w:t>
      </w:r>
    </w:p>
    <w:p w14:paraId="4C57E87C">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(一)坚持公平、公正、科学、择优的原则，本着实事求是的精神，不带有任何主观意愿和偏见，认真负责地做好评标工作，公平、公正地对待每一个投标人。</w:t>
      </w:r>
    </w:p>
    <w:p w14:paraId="5B37CE44">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(二)全面分析，综合评审。</w:t>
      </w:r>
    </w:p>
    <w:p w14:paraId="44B1EBE7">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(三)评标只对投标人的投标文件进行评审，投标文件以外的资料、信息不应作为评标的依据。</w:t>
      </w:r>
    </w:p>
    <w:p w14:paraId="767C5F73">
      <w:pPr>
        <w:spacing w:line="5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六、评标程序</w:t>
      </w:r>
    </w:p>
    <w:p w14:paraId="42319CD2">
      <w:pPr>
        <w:pStyle w:val="13"/>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次招标所采用的评标方法为《政府采购货物和服务招标投标管理办法》(财政部令第87号)第五十五条规定的“综合评分法”，即：投标文件满足招标文件全部实质性要求，且按照评审因素的量化指标评审得分最高的投标人为中标候选人的评标方法。</w:t>
      </w:r>
    </w:p>
    <w:p w14:paraId="10BFBD14">
      <w:pPr>
        <w:pStyle w:val="13"/>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评标只对通过资格审查的投标文件进行评审。评标按：符合性审查→商务和技术评估、综合比较与评价→得分汇总→评标报告编写的程序进行。</w:t>
      </w:r>
    </w:p>
    <w:p w14:paraId="2B7C44D0">
      <w:pPr>
        <w:spacing w:line="46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 xml:space="preserve"> (一)符合性审查</w:t>
      </w:r>
    </w:p>
    <w:p w14:paraId="3FCDE5E2">
      <w:pPr>
        <w:pStyle w:val="13"/>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评标委员会依据符合性评审标准对符合资格的投标人的投标文件进行符合性审查，有一项不符合评审标准的，评标委员会应当否决其投标。</w:t>
      </w:r>
    </w:p>
    <w:p w14:paraId="25E45D15">
      <w:pPr>
        <w:pStyle w:val="13"/>
        <w:ind w:firstLine="482" w:firstLineChars="200"/>
        <w:rPr>
          <w:rFonts w:hint="eastAsia" w:ascii="宋体" w:hAnsi="宋体" w:cs="宋体"/>
          <w:color w:val="auto"/>
          <w:sz w:val="24"/>
          <w:szCs w:val="24"/>
          <w:highlight w:val="none"/>
        </w:rPr>
      </w:pPr>
      <w:r>
        <w:rPr>
          <w:rFonts w:hint="eastAsia" w:ascii="宋体" w:hAnsi="宋体" w:cs="宋体"/>
          <w:b/>
          <w:color w:val="auto"/>
          <w:sz w:val="24"/>
          <w:szCs w:val="24"/>
          <w:highlight w:val="none"/>
        </w:rPr>
        <w:t>1、符合性审查表</w:t>
      </w:r>
    </w:p>
    <w:tbl>
      <w:tblPr>
        <w:tblStyle w:val="33"/>
        <w:tblW w:w="9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3"/>
        <w:gridCol w:w="2299"/>
        <w:gridCol w:w="5734"/>
      </w:tblGrid>
      <w:tr w14:paraId="6BC1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304AB03B">
            <w:pPr>
              <w:pStyle w:val="13"/>
              <w:widowControl w:val="0"/>
              <w:ind w:firstLine="0"/>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审查内容</w:t>
            </w:r>
          </w:p>
        </w:tc>
        <w:tc>
          <w:tcPr>
            <w:tcW w:w="2299" w:type="dxa"/>
          </w:tcPr>
          <w:p w14:paraId="65AB40D6">
            <w:pPr>
              <w:pStyle w:val="13"/>
              <w:widowControl w:val="0"/>
              <w:ind w:firstLine="0"/>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评审因素</w:t>
            </w:r>
          </w:p>
        </w:tc>
        <w:tc>
          <w:tcPr>
            <w:tcW w:w="5734" w:type="dxa"/>
          </w:tcPr>
          <w:p w14:paraId="454D0A8B">
            <w:pPr>
              <w:pStyle w:val="13"/>
              <w:widowControl w:val="0"/>
              <w:ind w:firstLine="0"/>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评审标准</w:t>
            </w:r>
          </w:p>
        </w:tc>
      </w:tr>
      <w:tr w14:paraId="7B34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vMerge w:val="restart"/>
            <w:vAlign w:val="center"/>
          </w:tcPr>
          <w:p w14:paraId="7B7981DC">
            <w:pPr>
              <w:pStyle w:val="13"/>
              <w:widowControl w:val="0"/>
              <w:ind w:firstLine="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符合性评审标准</w:t>
            </w:r>
          </w:p>
        </w:tc>
        <w:tc>
          <w:tcPr>
            <w:tcW w:w="2299" w:type="dxa"/>
            <w:vAlign w:val="center"/>
          </w:tcPr>
          <w:p w14:paraId="520D7454">
            <w:pPr>
              <w:pStyle w:val="13"/>
              <w:widowControl w:val="0"/>
              <w:ind w:firstLine="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投标文件格式</w:t>
            </w:r>
          </w:p>
        </w:tc>
        <w:tc>
          <w:tcPr>
            <w:tcW w:w="5734" w:type="dxa"/>
          </w:tcPr>
          <w:p w14:paraId="630DA187">
            <w:pPr>
              <w:pStyle w:val="13"/>
              <w:widowControl w:val="0"/>
              <w:ind w:firstLine="0"/>
              <w:jc w:val="both"/>
              <w:rPr>
                <w:rFonts w:hint="eastAsia" w:ascii="宋体" w:hAnsi="宋体" w:cs="宋体"/>
                <w:color w:val="auto"/>
                <w:sz w:val="24"/>
                <w:szCs w:val="24"/>
                <w:highlight w:val="none"/>
              </w:rPr>
            </w:pPr>
            <w:r>
              <w:rPr>
                <w:rFonts w:hint="eastAsia" w:ascii="宋体" w:hAnsi="宋体" w:cs="宋体"/>
                <w:color w:val="auto"/>
                <w:sz w:val="24"/>
                <w:highlight w:val="none"/>
              </w:rPr>
              <w:t>投标文件按</w:t>
            </w:r>
            <w:r>
              <w:rPr>
                <w:rFonts w:hint="eastAsia" w:ascii="宋体" w:hAnsi="宋体" w:cs="宋体"/>
                <w:color w:val="auto"/>
                <w:sz w:val="24"/>
                <w:szCs w:val="24"/>
                <w:highlight w:val="none"/>
              </w:rPr>
              <w:t>第七章“投标文件格式”</w:t>
            </w:r>
            <w:r>
              <w:rPr>
                <w:rFonts w:hint="eastAsia" w:ascii="宋体" w:hAnsi="宋体" w:cs="宋体"/>
                <w:color w:val="auto"/>
                <w:sz w:val="24"/>
                <w:highlight w:val="none"/>
              </w:rPr>
              <w:t>要求填写，内容完整且关键字迹清晰；</w:t>
            </w:r>
          </w:p>
        </w:tc>
      </w:tr>
      <w:tr w14:paraId="1272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vMerge w:val="continue"/>
          </w:tcPr>
          <w:p w14:paraId="0A143E9C">
            <w:pPr>
              <w:pStyle w:val="13"/>
              <w:widowControl w:val="0"/>
              <w:ind w:firstLine="0"/>
              <w:jc w:val="center"/>
              <w:rPr>
                <w:rFonts w:hint="eastAsia" w:ascii="宋体" w:hAnsi="宋体" w:cs="宋体"/>
                <w:color w:val="auto"/>
                <w:sz w:val="24"/>
                <w:szCs w:val="24"/>
                <w:highlight w:val="none"/>
              </w:rPr>
            </w:pPr>
          </w:p>
        </w:tc>
        <w:tc>
          <w:tcPr>
            <w:tcW w:w="2299" w:type="dxa"/>
            <w:vAlign w:val="center"/>
          </w:tcPr>
          <w:p w14:paraId="63259D82">
            <w:pPr>
              <w:pStyle w:val="13"/>
              <w:widowControl w:val="0"/>
              <w:ind w:firstLine="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投标文件签署、盖章</w:t>
            </w:r>
          </w:p>
        </w:tc>
        <w:tc>
          <w:tcPr>
            <w:tcW w:w="5734" w:type="dxa"/>
          </w:tcPr>
          <w:p w14:paraId="022AD231">
            <w:pPr>
              <w:pStyle w:val="13"/>
              <w:widowControl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按第七章“投标文件格式”</w:t>
            </w:r>
            <w:r>
              <w:rPr>
                <w:rFonts w:hint="eastAsia" w:ascii="宋体" w:hAnsi="宋体" w:cs="宋体"/>
                <w:color w:val="auto"/>
                <w:sz w:val="24"/>
                <w:highlight w:val="none"/>
              </w:rPr>
              <w:t>要求在规定位置盖电子签章</w:t>
            </w:r>
            <w:r>
              <w:rPr>
                <w:rFonts w:hint="eastAsia" w:ascii="宋体" w:hAnsi="宋体" w:cs="宋体"/>
                <w:color w:val="auto"/>
                <w:sz w:val="24"/>
                <w:szCs w:val="24"/>
                <w:highlight w:val="none"/>
              </w:rPr>
              <w:t>、签字</w:t>
            </w:r>
          </w:p>
        </w:tc>
      </w:tr>
      <w:tr w14:paraId="6503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23" w:type="dxa"/>
            <w:vMerge w:val="continue"/>
          </w:tcPr>
          <w:p w14:paraId="7AECB399">
            <w:pPr>
              <w:pStyle w:val="13"/>
              <w:widowControl w:val="0"/>
              <w:ind w:firstLine="0"/>
              <w:jc w:val="both"/>
              <w:rPr>
                <w:rFonts w:hint="eastAsia" w:ascii="宋体" w:hAnsi="宋体" w:cs="宋体"/>
                <w:color w:val="auto"/>
                <w:sz w:val="24"/>
                <w:szCs w:val="24"/>
                <w:highlight w:val="none"/>
              </w:rPr>
            </w:pPr>
          </w:p>
        </w:tc>
        <w:tc>
          <w:tcPr>
            <w:tcW w:w="2299" w:type="dxa"/>
          </w:tcPr>
          <w:p w14:paraId="6AB79DB2">
            <w:pPr>
              <w:pStyle w:val="13"/>
              <w:widowControl w:val="0"/>
              <w:ind w:firstLine="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投标保证金</w:t>
            </w:r>
          </w:p>
        </w:tc>
        <w:tc>
          <w:tcPr>
            <w:tcW w:w="5734" w:type="dxa"/>
          </w:tcPr>
          <w:p w14:paraId="577512EF">
            <w:pPr>
              <w:pStyle w:val="13"/>
              <w:widowControl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符合第二章“投标人须知前附表”第3.4.1款规定</w:t>
            </w:r>
          </w:p>
        </w:tc>
      </w:tr>
      <w:tr w14:paraId="14BF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vMerge w:val="continue"/>
          </w:tcPr>
          <w:p w14:paraId="240225E6">
            <w:pPr>
              <w:pStyle w:val="13"/>
              <w:widowControl w:val="0"/>
              <w:jc w:val="both"/>
              <w:rPr>
                <w:rFonts w:hint="eastAsia" w:ascii="宋体" w:hAnsi="宋体" w:cs="宋体"/>
                <w:color w:val="auto"/>
                <w:sz w:val="24"/>
                <w:szCs w:val="24"/>
                <w:highlight w:val="none"/>
              </w:rPr>
            </w:pPr>
          </w:p>
        </w:tc>
        <w:tc>
          <w:tcPr>
            <w:tcW w:w="2299" w:type="dxa"/>
            <w:vAlign w:val="center"/>
          </w:tcPr>
          <w:p w14:paraId="0A6F46E0">
            <w:pPr>
              <w:pStyle w:val="13"/>
              <w:widowControl w:val="0"/>
              <w:ind w:firstLine="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投标报价</w:t>
            </w:r>
          </w:p>
        </w:tc>
        <w:tc>
          <w:tcPr>
            <w:tcW w:w="5734" w:type="dxa"/>
          </w:tcPr>
          <w:p w14:paraId="12E9172A">
            <w:pPr>
              <w:pStyle w:val="13"/>
              <w:widowControl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符合第二章“投标人须知”第3.2项规定和第二章“投标人须知前附表”第3.2.4款规定</w:t>
            </w:r>
          </w:p>
        </w:tc>
      </w:tr>
      <w:tr w14:paraId="1327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923" w:type="dxa"/>
            <w:vMerge w:val="continue"/>
          </w:tcPr>
          <w:p w14:paraId="58BF75A4">
            <w:pPr>
              <w:pStyle w:val="13"/>
              <w:widowControl w:val="0"/>
              <w:jc w:val="both"/>
              <w:rPr>
                <w:rFonts w:hint="eastAsia" w:ascii="宋体" w:hAnsi="宋体" w:cs="宋体"/>
                <w:color w:val="auto"/>
                <w:sz w:val="24"/>
                <w:szCs w:val="24"/>
                <w:highlight w:val="none"/>
              </w:rPr>
            </w:pPr>
          </w:p>
        </w:tc>
        <w:tc>
          <w:tcPr>
            <w:tcW w:w="2299" w:type="dxa"/>
            <w:vAlign w:val="center"/>
          </w:tcPr>
          <w:p w14:paraId="28B3FCAA">
            <w:pPr>
              <w:pStyle w:val="13"/>
              <w:widowControl w:val="0"/>
              <w:ind w:firstLine="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投标有效期</w:t>
            </w:r>
          </w:p>
        </w:tc>
        <w:tc>
          <w:tcPr>
            <w:tcW w:w="5734" w:type="dxa"/>
          </w:tcPr>
          <w:p w14:paraId="6B3D98F8">
            <w:pPr>
              <w:pStyle w:val="13"/>
              <w:widowControl w:val="0"/>
              <w:ind w:firstLine="0"/>
              <w:jc w:val="both"/>
              <w:rPr>
                <w:rFonts w:hint="eastAsia" w:ascii="宋体" w:hAnsi="宋体" w:cs="宋体"/>
                <w:color w:val="auto"/>
                <w:sz w:val="24"/>
                <w:szCs w:val="24"/>
                <w:highlight w:val="none"/>
              </w:rPr>
            </w:pPr>
            <w:r>
              <w:rPr>
                <w:rFonts w:hint="eastAsia" w:ascii="宋体" w:hAnsi="宋体"/>
                <w:color w:val="auto"/>
                <w:sz w:val="24"/>
                <w:szCs w:val="24"/>
                <w:highlight w:val="none"/>
              </w:rPr>
              <w:t>符合第二章</w:t>
            </w:r>
            <w:r>
              <w:rPr>
                <w:rFonts w:hint="eastAsia" w:ascii="宋体" w:hAnsi="宋体" w:cs="宋体"/>
                <w:color w:val="auto"/>
                <w:sz w:val="24"/>
                <w:szCs w:val="24"/>
                <w:highlight w:val="none"/>
              </w:rPr>
              <w:t>“</w:t>
            </w:r>
            <w:r>
              <w:rPr>
                <w:rFonts w:hint="eastAsia" w:ascii="宋体" w:hAnsi="宋体"/>
                <w:color w:val="auto"/>
                <w:sz w:val="24"/>
                <w:szCs w:val="24"/>
                <w:highlight w:val="none"/>
              </w:rPr>
              <w:t>投标人须知前附表</w:t>
            </w:r>
            <w:r>
              <w:rPr>
                <w:rFonts w:hint="eastAsia" w:ascii="宋体" w:hAnsi="宋体" w:cs="宋体"/>
                <w:color w:val="auto"/>
                <w:sz w:val="24"/>
                <w:szCs w:val="24"/>
                <w:highlight w:val="none"/>
              </w:rPr>
              <w:t>”</w:t>
            </w:r>
            <w:r>
              <w:rPr>
                <w:rFonts w:hint="eastAsia" w:ascii="宋体" w:hAnsi="宋体"/>
                <w:color w:val="auto"/>
                <w:sz w:val="24"/>
                <w:szCs w:val="24"/>
                <w:highlight w:val="none"/>
              </w:rPr>
              <w:t>第3.3.1款规定</w:t>
            </w:r>
          </w:p>
        </w:tc>
      </w:tr>
      <w:tr w14:paraId="1315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923" w:type="dxa"/>
            <w:vMerge w:val="continue"/>
          </w:tcPr>
          <w:p w14:paraId="642C5A8E">
            <w:pPr>
              <w:pStyle w:val="13"/>
              <w:widowControl w:val="0"/>
              <w:jc w:val="both"/>
              <w:rPr>
                <w:rFonts w:hint="eastAsia" w:ascii="宋体" w:hAnsi="宋体" w:cs="宋体"/>
                <w:color w:val="auto"/>
                <w:sz w:val="24"/>
                <w:szCs w:val="24"/>
                <w:highlight w:val="none"/>
              </w:rPr>
            </w:pPr>
          </w:p>
        </w:tc>
        <w:tc>
          <w:tcPr>
            <w:tcW w:w="2299" w:type="dxa"/>
          </w:tcPr>
          <w:p w14:paraId="32644E2D">
            <w:pPr>
              <w:pStyle w:val="13"/>
              <w:widowControl w:val="0"/>
              <w:ind w:firstLine="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合同履行期限</w:t>
            </w:r>
          </w:p>
        </w:tc>
        <w:tc>
          <w:tcPr>
            <w:tcW w:w="5734" w:type="dxa"/>
          </w:tcPr>
          <w:p w14:paraId="22FC8979">
            <w:pPr>
              <w:pStyle w:val="13"/>
              <w:widowControl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符合第二章“投标人须知前附表”第1.3.2款规定</w:t>
            </w:r>
          </w:p>
        </w:tc>
      </w:tr>
      <w:tr w14:paraId="00C0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vMerge w:val="continue"/>
          </w:tcPr>
          <w:p w14:paraId="1C395B19">
            <w:pPr>
              <w:pStyle w:val="13"/>
              <w:widowControl w:val="0"/>
              <w:jc w:val="both"/>
              <w:rPr>
                <w:rFonts w:hint="eastAsia" w:ascii="宋体" w:hAnsi="宋体" w:cs="宋体"/>
                <w:color w:val="auto"/>
                <w:sz w:val="24"/>
                <w:szCs w:val="24"/>
                <w:highlight w:val="none"/>
              </w:rPr>
            </w:pPr>
          </w:p>
        </w:tc>
        <w:tc>
          <w:tcPr>
            <w:tcW w:w="2299" w:type="dxa"/>
          </w:tcPr>
          <w:p w14:paraId="6F4AFD21">
            <w:pPr>
              <w:pStyle w:val="13"/>
              <w:widowControl w:val="0"/>
              <w:ind w:firstLine="0"/>
              <w:jc w:val="center"/>
              <w:rPr>
                <w:rFonts w:hint="eastAsia" w:ascii="宋体" w:hAnsi="宋体" w:cs="宋体"/>
                <w:color w:val="auto"/>
                <w:sz w:val="24"/>
                <w:szCs w:val="24"/>
                <w:highlight w:val="none"/>
              </w:rPr>
            </w:pPr>
            <w:r>
              <w:rPr>
                <w:rFonts w:hint="eastAsia" w:ascii="宋体" w:hAnsi="宋体" w:cs="宋体"/>
                <w:color w:val="auto"/>
                <w:kern w:val="2"/>
                <w:sz w:val="24"/>
                <w:szCs w:val="24"/>
                <w:highlight w:val="none"/>
              </w:rPr>
              <w:t>服务地点、服务方式</w:t>
            </w:r>
          </w:p>
        </w:tc>
        <w:tc>
          <w:tcPr>
            <w:tcW w:w="5734" w:type="dxa"/>
          </w:tcPr>
          <w:p w14:paraId="4F449F58">
            <w:pPr>
              <w:pStyle w:val="13"/>
              <w:widowControl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符合第二章“投标人须知前附表”第1.3.3款规定</w:t>
            </w:r>
          </w:p>
        </w:tc>
      </w:tr>
      <w:tr w14:paraId="5A74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vMerge w:val="continue"/>
          </w:tcPr>
          <w:p w14:paraId="18045D24">
            <w:pPr>
              <w:pStyle w:val="13"/>
              <w:widowControl w:val="0"/>
              <w:jc w:val="both"/>
              <w:rPr>
                <w:rFonts w:hint="eastAsia" w:ascii="宋体" w:hAnsi="宋体" w:cs="宋体"/>
                <w:color w:val="auto"/>
                <w:sz w:val="24"/>
                <w:szCs w:val="24"/>
                <w:highlight w:val="none"/>
              </w:rPr>
            </w:pPr>
          </w:p>
        </w:tc>
        <w:tc>
          <w:tcPr>
            <w:tcW w:w="2299" w:type="dxa"/>
          </w:tcPr>
          <w:p w14:paraId="341366E9">
            <w:pPr>
              <w:pStyle w:val="13"/>
              <w:widowControl w:val="0"/>
              <w:ind w:firstLine="0"/>
              <w:jc w:val="center"/>
              <w:rPr>
                <w:rFonts w:hint="eastAsia" w:ascii="宋体" w:hAnsi="宋体" w:cs="宋体"/>
                <w:color w:val="auto"/>
                <w:sz w:val="24"/>
                <w:szCs w:val="24"/>
                <w:highlight w:val="none"/>
              </w:rPr>
            </w:pPr>
            <w:r>
              <w:rPr>
                <w:rFonts w:hint="eastAsia" w:ascii="宋体" w:hAnsi="宋体" w:cs="宋体"/>
                <w:color w:val="auto"/>
                <w:sz w:val="24"/>
                <w:highlight w:val="none"/>
              </w:rPr>
              <w:t>投标内容</w:t>
            </w:r>
          </w:p>
        </w:tc>
        <w:tc>
          <w:tcPr>
            <w:tcW w:w="5734" w:type="dxa"/>
          </w:tcPr>
          <w:p w14:paraId="65C978EF">
            <w:pPr>
              <w:pStyle w:val="13"/>
              <w:widowControl w:val="0"/>
              <w:ind w:firstLine="0"/>
              <w:jc w:val="both"/>
              <w:rPr>
                <w:rFonts w:hint="default" w:ascii="宋体" w:hAnsi="宋体" w:eastAsia="宋体" w:cs="宋体"/>
                <w:color w:val="auto"/>
                <w:sz w:val="24"/>
                <w:szCs w:val="24"/>
                <w:highlight w:val="none"/>
                <w:lang w:val="en-US" w:eastAsia="zh-CN"/>
              </w:rPr>
            </w:pPr>
            <w:r>
              <w:rPr>
                <w:rFonts w:hint="eastAsia" w:ascii="宋体" w:hAnsi="宋体" w:cs="宋体"/>
                <w:color w:val="auto"/>
                <w:sz w:val="24"/>
                <w:highlight w:val="none"/>
              </w:rPr>
              <w:t>投标人提供的服务无实质性遗漏</w:t>
            </w:r>
          </w:p>
        </w:tc>
      </w:tr>
      <w:tr w14:paraId="49C5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vMerge w:val="continue"/>
          </w:tcPr>
          <w:p w14:paraId="730D25B2">
            <w:pPr>
              <w:pStyle w:val="13"/>
              <w:widowControl w:val="0"/>
              <w:jc w:val="both"/>
              <w:rPr>
                <w:rFonts w:hint="eastAsia" w:ascii="宋体" w:hAnsi="宋体" w:cs="宋体"/>
                <w:color w:val="auto"/>
                <w:sz w:val="24"/>
                <w:szCs w:val="24"/>
                <w:highlight w:val="none"/>
              </w:rPr>
            </w:pPr>
          </w:p>
        </w:tc>
        <w:tc>
          <w:tcPr>
            <w:tcW w:w="2299" w:type="dxa"/>
            <w:vAlign w:val="center"/>
          </w:tcPr>
          <w:p w14:paraId="7B89479A">
            <w:pPr>
              <w:pStyle w:val="13"/>
              <w:widowControl w:val="0"/>
              <w:ind w:firstLine="0"/>
              <w:jc w:val="center"/>
              <w:rPr>
                <w:rFonts w:hint="eastAsia" w:ascii="宋体" w:hAnsi="宋体" w:cs="宋体"/>
                <w:color w:val="auto"/>
                <w:sz w:val="24"/>
                <w:szCs w:val="24"/>
                <w:highlight w:val="none"/>
              </w:rPr>
            </w:pPr>
            <w:r>
              <w:rPr>
                <w:rFonts w:hint="eastAsia" w:ascii="宋体" w:hAnsi="宋体"/>
                <w:color w:val="auto"/>
                <w:sz w:val="24"/>
                <w:szCs w:val="24"/>
                <w:highlight w:val="none"/>
              </w:rPr>
              <w:t>法定代表人授权委托书</w:t>
            </w:r>
          </w:p>
        </w:tc>
        <w:tc>
          <w:tcPr>
            <w:tcW w:w="5734" w:type="dxa"/>
          </w:tcPr>
          <w:p w14:paraId="59F82110">
            <w:pPr>
              <w:pStyle w:val="13"/>
              <w:widowControl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法定代表人委托代理人投标的，应附法定代表人授权委托书</w:t>
            </w:r>
          </w:p>
        </w:tc>
      </w:tr>
      <w:tr w14:paraId="575B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vMerge w:val="continue"/>
          </w:tcPr>
          <w:p w14:paraId="5E91A86D">
            <w:pPr>
              <w:pStyle w:val="13"/>
              <w:widowControl w:val="0"/>
              <w:jc w:val="both"/>
              <w:rPr>
                <w:rFonts w:hint="eastAsia" w:ascii="宋体" w:hAnsi="宋体" w:cs="宋体"/>
                <w:color w:val="auto"/>
                <w:sz w:val="24"/>
                <w:szCs w:val="24"/>
                <w:highlight w:val="none"/>
              </w:rPr>
            </w:pPr>
          </w:p>
        </w:tc>
        <w:tc>
          <w:tcPr>
            <w:tcW w:w="2299" w:type="dxa"/>
            <w:vAlign w:val="center"/>
          </w:tcPr>
          <w:p w14:paraId="71D5D4BA">
            <w:pPr>
              <w:widowControl w:val="0"/>
              <w:tabs>
                <w:tab w:val="left" w:pos="1260"/>
                <w:tab w:val="left" w:pos="1620"/>
              </w:tabs>
              <w:adjustRightInd w:val="0"/>
              <w:snapToGrid w:val="0"/>
              <w:jc w:val="center"/>
              <w:textAlignment w:val="baseline"/>
              <w:rPr>
                <w:rFonts w:hint="eastAsia" w:ascii="宋体" w:hAnsi="宋体" w:cs="宋体"/>
                <w:color w:val="auto"/>
                <w:sz w:val="24"/>
                <w:szCs w:val="24"/>
                <w:highlight w:val="none"/>
              </w:rPr>
            </w:pPr>
            <w:r>
              <w:rPr>
                <w:rFonts w:hint="eastAsia" w:ascii="宋体" w:hAnsi="宋体" w:cs="宋体"/>
                <w:color w:val="auto"/>
                <w:sz w:val="24"/>
                <w:highlight w:val="none"/>
              </w:rPr>
              <w:t>其他无效情形</w:t>
            </w:r>
          </w:p>
        </w:tc>
        <w:tc>
          <w:tcPr>
            <w:tcW w:w="5734" w:type="dxa"/>
            <w:vAlign w:val="center"/>
          </w:tcPr>
          <w:p w14:paraId="54B8CDB2">
            <w:pPr>
              <w:pStyle w:val="13"/>
              <w:widowControl w:val="0"/>
              <w:autoSpaceDE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(1)不同投标人的投标文件由同一单位或者个人编制；</w:t>
            </w:r>
          </w:p>
          <w:p w14:paraId="2386E528">
            <w:pPr>
              <w:pStyle w:val="13"/>
              <w:widowControl w:val="0"/>
              <w:autoSpaceDE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(2)不同投标人委托同一单位或者个人办理投标事宜；</w:t>
            </w:r>
          </w:p>
          <w:p w14:paraId="65EA67DE">
            <w:pPr>
              <w:pStyle w:val="13"/>
              <w:widowControl w:val="0"/>
              <w:autoSpaceDE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(3)不同投标人的投标文件载明的项目管理成员或者联系人员为同一人；</w:t>
            </w:r>
          </w:p>
          <w:p w14:paraId="128CDC16">
            <w:pPr>
              <w:pStyle w:val="13"/>
              <w:widowControl w:val="0"/>
              <w:autoSpaceDE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(4)不同投标人的投标文件异常一致或者投标报价呈规律性差异；</w:t>
            </w:r>
          </w:p>
          <w:p w14:paraId="14DC2C0B">
            <w:pPr>
              <w:pStyle w:val="13"/>
              <w:widowControl w:val="0"/>
              <w:autoSpaceDE w:val="0"/>
              <w:ind w:firstLine="0"/>
              <w:jc w:val="both"/>
              <w:rPr>
                <w:rFonts w:hint="eastAsia" w:ascii="宋体" w:hAnsi="宋体" w:cs="宋体"/>
                <w:color w:val="auto"/>
                <w:sz w:val="24"/>
                <w:szCs w:val="24"/>
                <w:highlight w:val="none"/>
              </w:rPr>
            </w:pPr>
            <w:r>
              <w:rPr>
                <w:rFonts w:hint="eastAsia" w:ascii="宋体" w:hAnsi="宋体"/>
                <w:color w:val="auto"/>
                <w:sz w:val="24"/>
                <w:szCs w:val="24"/>
                <w:highlight w:val="none"/>
              </w:rPr>
              <w:t>(5)</w:t>
            </w:r>
            <w:r>
              <w:rPr>
                <w:rFonts w:hint="eastAsia" w:ascii="宋体" w:hAnsi="宋体" w:cs="宋体"/>
                <w:color w:val="auto"/>
                <w:sz w:val="24"/>
                <w:szCs w:val="24"/>
                <w:highlight w:val="none"/>
              </w:rPr>
              <w:t>不同投标人的投标文件相互混装；</w:t>
            </w:r>
          </w:p>
          <w:p w14:paraId="4208893B">
            <w:pPr>
              <w:pStyle w:val="13"/>
              <w:widowControl w:val="0"/>
              <w:autoSpaceDE w:val="0"/>
              <w:ind w:firstLine="0"/>
              <w:jc w:val="both"/>
              <w:rPr>
                <w:rFonts w:hint="eastAsia" w:ascii="宋体" w:hAnsi="宋体"/>
                <w:color w:val="auto"/>
                <w:sz w:val="24"/>
                <w:szCs w:val="24"/>
                <w:highlight w:val="none"/>
              </w:rPr>
            </w:pPr>
            <w:r>
              <w:rPr>
                <w:rFonts w:hint="eastAsia" w:ascii="宋体" w:hAnsi="宋体"/>
                <w:color w:val="auto"/>
                <w:sz w:val="24"/>
                <w:szCs w:val="24"/>
                <w:highlight w:val="none"/>
              </w:rPr>
              <w:t>(6)不同投标人的投标保证金从同一单位或者个人的账户转出；</w:t>
            </w:r>
          </w:p>
          <w:p w14:paraId="42779F9A">
            <w:pPr>
              <w:widowControl w:val="0"/>
              <w:tabs>
                <w:tab w:val="left" w:pos="1260"/>
                <w:tab w:val="left" w:pos="1620"/>
              </w:tabs>
              <w:adjustRightInd w:val="0"/>
              <w:snapToGrid w:val="0"/>
              <w:jc w:val="both"/>
              <w:textAlignment w:val="baseline"/>
              <w:rPr>
                <w:rFonts w:hint="eastAsia" w:ascii="宋体" w:hAnsi="宋体" w:cs="宋体"/>
                <w:color w:val="auto"/>
                <w:sz w:val="24"/>
                <w:szCs w:val="24"/>
                <w:highlight w:val="none"/>
              </w:rPr>
            </w:pPr>
            <w:r>
              <w:rPr>
                <w:rFonts w:hint="eastAsia" w:ascii="宋体" w:hAnsi="宋体"/>
                <w:color w:val="auto"/>
                <w:sz w:val="24"/>
                <w:szCs w:val="24"/>
                <w:highlight w:val="none"/>
              </w:rPr>
              <w:t>(7)法律、法规和招标文件规定的其他无效情形。</w:t>
            </w:r>
          </w:p>
        </w:tc>
      </w:tr>
      <w:tr w14:paraId="33D0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23" w:type="dxa"/>
            <w:vMerge w:val="continue"/>
          </w:tcPr>
          <w:p w14:paraId="38219018">
            <w:pPr>
              <w:pStyle w:val="13"/>
              <w:widowControl w:val="0"/>
              <w:jc w:val="both"/>
              <w:rPr>
                <w:rFonts w:hint="eastAsia" w:ascii="宋体" w:hAnsi="宋体" w:cs="宋体"/>
                <w:color w:val="auto"/>
                <w:sz w:val="24"/>
                <w:szCs w:val="24"/>
                <w:highlight w:val="none"/>
              </w:rPr>
            </w:pPr>
          </w:p>
        </w:tc>
        <w:tc>
          <w:tcPr>
            <w:tcW w:w="2299" w:type="dxa"/>
          </w:tcPr>
          <w:p w14:paraId="03170754">
            <w:pPr>
              <w:pStyle w:val="13"/>
              <w:widowControl w:val="0"/>
              <w:ind w:firstLine="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附加条件</w:t>
            </w:r>
          </w:p>
        </w:tc>
        <w:tc>
          <w:tcPr>
            <w:tcW w:w="5734" w:type="dxa"/>
          </w:tcPr>
          <w:p w14:paraId="64E8F455">
            <w:pPr>
              <w:pStyle w:val="13"/>
              <w:widowControl w:val="0"/>
              <w:ind w:firstLine="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投标文件未含有采购人不能接受的附加条件</w:t>
            </w:r>
          </w:p>
        </w:tc>
      </w:tr>
    </w:tbl>
    <w:p w14:paraId="42DCE038">
      <w:pPr>
        <w:pStyle w:val="13"/>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(二)澄清有关问题</w:t>
      </w:r>
    </w:p>
    <w:p w14:paraId="5E19F878">
      <w:pPr>
        <w:pStyle w:val="13"/>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1.投标文件内容澄清</w:t>
      </w:r>
    </w:p>
    <w:p w14:paraId="09EF3170">
      <w:pPr>
        <w:pStyle w:val="13"/>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对于投标文件中含义不明确、同类问题表述不一致或者有明显文字和计算错误的内容，评标委员会应当以书面形式要求投标人作出必要的澄清、说明或者补正。投标人的澄清、说明或者补正应当采用书面形式，并加盖单位公章，或者由法定代表人或其授权的代表签字。投标人的澄清、说明或者补正不得超出投标文件的范围或者改变投标文件的实质性内容。</w:t>
      </w:r>
    </w:p>
    <w:p w14:paraId="5F4B1DD7">
      <w:pPr>
        <w:pStyle w:val="13"/>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2.报价不一致情形澄清</w:t>
      </w:r>
    </w:p>
    <w:p w14:paraId="41E6BEC9">
      <w:pPr>
        <w:pStyle w:val="13"/>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投标文件报价出现前后不一致的，除招标文件另有规定外，按照下列规定修正：</w:t>
      </w:r>
    </w:p>
    <w:p w14:paraId="6E551114">
      <w:pPr>
        <w:pStyle w:val="13"/>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(1)投标文件中《开标一览表》内容与投标文件中相应内容不一致的，以《开标一览表》为准；</w:t>
      </w:r>
    </w:p>
    <w:p w14:paraId="165D708A">
      <w:pPr>
        <w:pStyle w:val="13"/>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(2)大写金额和小写金额不一致的，以大写金额为准；</w:t>
      </w:r>
    </w:p>
    <w:p w14:paraId="62149AB9">
      <w:pPr>
        <w:pStyle w:val="13"/>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(3)单价金额小数点或者百分比有明显错位的，以开标一览表的总价为准，并修改单价；</w:t>
      </w:r>
    </w:p>
    <w:p w14:paraId="01F0B18B">
      <w:pPr>
        <w:pStyle w:val="13"/>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(4)总价金额与按单价汇总金额不一致的，以单价金额计算结果为准。</w:t>
      </w:r>
    </w:p>
    <w:p w14:paraId="1BCD92DB">
      <w:pPr>
        <w:pStyle w:val="13"/>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同时出现两种以上不一致的，按照前款规定的顺序修正。修正后的报价经投标人确认后产生约束力，投标人不确认的，其投标无效。</w:t>
      </w:r>
    </w:p>
    <w:p w14:paraId="48B5EE34">
      <w:pPr>
        <w:pStyle w:val="13"/>
        <w:ind w:firstLine="482" w:firstLineChars="200"/>
        <w:rPr>
          <w:rFonts w:hint="eastAsia" w:ascii="宋体" w:hAnsi="宋体" w:eastAsia="宋体" w:cs="宋体"/>
          <w:b/>
          <w:bCs w:val="0"/>
          <w:color w:val="auto"/>
          <w:sz w:val="24"/>
          <w:szCs w:val="24"/>
          <w:highlight w:val="none"/>
        </w:rPr>
      </w:pPr>
      <w:r>
        <w:rPr>
          <w:rFonts w:hint="eastAsia" w:ascii="宋体" w:hAnsi="宋体" w:eastAsia="宋体" w:cs="Times New Roman"/>
          <w:b/>
          <w:bCs w:val="0"/>
          <w:color w:val="auto"/>
          <w:sz w:val="24"/>
          <w:szCs w:val="24"/>
          <w:highlight w:val="none"/>
          <w:lang w:val="en-US" w:eastAsia="zh-CN"/>
        </w:rPr>
        <w:t>注：</w:t>
      </w:r>
      <w:r>
        <w:rPr>
          <w:rFonts w:hint="eastAsia" w:ascii="宋体" w:hAnsi="宋体" w:eastAsia="宋体" w:cs="Times New Roman"/>
          <w:b/>
          <w:bCs w:val="0"/>
          <w:color w:val="auto"/>
          <w:sz w:val="24"/>
          <w:szCs w:val="24"/>
          <w:highlight w:val="none"/>
        </w:rPr>
        <w:t>如</w:t>
      </w:r>
      <w:r>
        <w:rPr>
          <w:rFonts w:hint="eastAsia" w:ascii="宋体" w:hAnsi="宋体" w:eastAsia="宋体" w:cs="Times New Roman"/>
          <w:b/>
          <w:bCs w:val="0"/>
          <w:color w:val="auto"/>
          <w:sz w:val="24"/>
          <w:szCs w:val="24"/>
          <w:highlight w:val="none"/>
          <w:lang w:val="en-US" w:eastAsia="zh-CN"/>
        </w:rPr>
        <w:t>投标文件</w:t>
      </w:r>
      <w:r>
        <w:rPr>
          <w:rFonts w:hint="eastAsia" w:ascii="宋体" w:hAnsi="宋体" w:eastAsia="宋体" w:cs="Times New Roman"/>
          <w:b/>
          <w:bCs w:val="0"/>
          <w:color w:val="auto"/>
          <w:sz w:val="24"/>
          <w:szCs w:val="24"/>
          <w:highlight w:val="none"/>
        </w:rPr>
        <w:t>中开标一览表的报价与政采云系统上面填的报价不一致时，以</w:t>
      </w:r>
      <w:r>
        <w:rPr>
          <w:rFonts w:hint="eastAsia" w:ascii="宋体" w:hAnsi="宋体" w:eastAsia="宋体" w:cs="Times New Roman"/>
          <w:b/>
          <w:bCs w:val="0"/>
          <w:color w:val="auto"/>
          <w:sz w:val="24"/>
          <w:szCs w:val="24"/>
          <w:highlight w:val="none"/>
          <w:lang w:val="en-US" w:eastAsia="zh-CN"/>
        </w:rPr>
        <w:t>投标文件</w:t>
      </w:r>
      <w:r>
        <w:rPr>
          <w:rFonts w:hint="eastAsia" w:ascii="宋体" w:hAnsi="宋体" w:eastAsia="宋体" w:cs="Times New Roman"/>
          <w:b/>
          <w:bCs w:val="0"/>
          <w:color w:val="auto"/>
          <w:sz w:val="24"/>
          <w:szCs w:val="24"/>
          <w:highlight w:val="none"/>
        </w:rPr>
        <w:t>中开标一览表的报价为</w:t>
      </w:r>
      <w:r>
        <w:rPr>
          <w:rFonts w:hint="eastAsia" w:ascii="宋体" w:hAnsi="宋体" w:eastAsia="宋体" w:cs="宋体"/>
          <w:b/>
          <w:bCs w:val="0"/>
          <w:color w:val="auto"/>
          <w:sz w:val="24"/>
          <w:szCs w:val="24"/>
          <w:highlight w:val="none"/>
        </w:rPr>
        <w:t>准。</w:t>
      </w:r>
    </w:p>
    <w:p w14:paraId="4CCEEC0A">
      <w:pPr>
        <w:pStyle w:val="13"/>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3.报价过低情形澄清</w:t>
      </w:r>
    </w:p>
    <w:p w14:paraId="02CDBF57">
      <w:pPr>
        <w:pStyle w:val="13"/>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360E81E">
      <w:pPr>
        <w:spacing w:line="5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(三)商务和技术评估、综合比较与评价</w:t>
      </w:r>
    </w:p>
    <w:p w14:paraId="0E4633F2">
      <w:pPr>
        <w:keepNext w:val="0"/>
        <w:keepLines w:val="0"/>
        <w:pageBreakBefore w:val="0"/>
        <w:widowControl w:val="0"/>
        <w:kinsoku/>
        <w:wordWrap/>
        <w:overflowPunct/>
        <w:topLinePunct w:val="0"/>
        <w:bidi w:val="0"/>
        <w:adjustRightInd/>
        <w:snapToGrid/>
        <w:spacing w:line="500" w:lineRule="exact"/>
        <w:ind w:left="0" w:leftChars="0" w:firstLine="472" w:firstLineChars="196"/>
        <w:jc w:val="both"/>
        <w:textAlignment w:val="auto"/>
        <w:rPr>
          <w:rFonts w:hint="eastAsia" w:ascii="Times New Roman" w:hAnsi="Times New Roman" w:eastAsia="宋体"/>
          <w:b/>
          <w:bCs/>
          <w:caps w:val="0"/>
          <w:smallCaps w:val="0"/>
          <w:color w:val="auto"/>
          <w:sz w:val="24"/>
          <w:szCs w:val="24"/>
          <w:highlight w:val="none"/>
        </w:rPr>
      </w:pPr>
      <w:r>
        <w:rPr>
          <w:rFonts w:hint="eastAsia" w:ascii="宋体" w:hAnsi="宋体" w:cs="宋体"/>
          <w:b/>
          <w:bCs/>
          <w:color w:val="auto"/>
          <w:sz w:val="24"/>
          <w:szCs w:val="24"/>
          <w:highlight w:val="none"/>
          <w:lang w:bidi="ar"/>
        </w:rPr>
        <w:t>1.</w:t>
      </w:r>
      <w:r>
        <w:rPr>
          <w:rFonts w:hint="eastAsia" w:ascii="Times New Roman" w:hAnsi="Times New Roman" w:eastAsia="宋体"/>
          <w:b/>
          <w:bCs/>
          <w:caps w:val="0"/>
          <w:smallCaps w:val="0"/>
          <w:color w:val="auto"/>
          <w:sz w:val="24"/>
          <w:szCs w:val="24"/>
          <w:highlight w:val="none"/>
          <w:lang w:val="en-US" w:eastAsia="zh-CN"/>
        </w:rPr>
        <w:t>小微企业优惠政策</w:t>
      </w:r>
    </w:p>
    <w:p w14:paraId="0B90BE94">
      <w:pPr>
        <w:pStyle w:val="11"/>
        <w:keepNext w:val="0"/>
        <w:keepLines w:val="0"/>
        <w:pageBreakBefore w:val="0"/>
        <w:widowControl w:val="0"/>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宋体" w:cs="宋体"/>
          <w:b w:val="0"/>
          <w:bCs w:val="0"/>
          <w:caps w:val="0"/>
          <w:smallCaps w:val="0"/>
          <w:color w:val="auto"/>
          <w:sz w:val="24"/>
          <w:szCs w:val="24"/>
          <w:highlight w:val="none"/>
          <w:lang w:val="en-US" w:eastAsia="zh-CN" w:bidi="ar-SA"/>
        </w:rPr>
      </w:pPr>
      <w:r>
        <w:rPr>
          <w:rFonts w:hint="eastAsia" w:ascii="Times New Roman" w:hAnsi="Times New Roman" w:eastAsia="宋体" w:cs="宋体"/>
          <w:b w:val="0"/>
          <w:bCs w:val="0"/>
          <w:caps w:val="0"/>
          <w:smallCaps w:val="0"/>
          <w:color w:val="auto"/>
          <w:sz w:val="24"/>
          <w:szCs w:val="24"/>
          <w:highlight w:val="none"/>
          <w:lang w:val="en-US" w:eastAsia="zh-CN" w:bidi="ar-SA"/>
        </w:rPr>
        <w:t>根据《政府采购促进中小企业发展管理办法》(财库〔2020〕46号)、关于进一步加大政府采购支持中小企业力度的通知(财库〔2022〕19号)的规定，对符合国家统计局《统计上大中小微型企业划分办法(2017)》规定条件</w:t>
      </w:r>
      <w:r>
        <w:rPr>
          <w:rFonts w:hint="eastAsia" w:ascii="Times New Roman" w:hAnsi="Times New Roman" w:eastAsia="宋体" w:cs="宋体"/>
          <w:b w:val="0"/>
          <w:bCs w:val="0"/>
          <w:caps w:val="0"/>
          <w:smallCaps w:val="0"/>
          <w:color w:val="auto"/>
          <w:sz w:val="24"/>
          <w:szCs w:val="24"/>
          <w:highlight w:val="none"/>
          <w:u w:val="single"/>
          <w:lang w:val="en-US" w:eastAsia="zh-CN" w:bidi="ar-SA"/>
        </w:rPr>
        <w:t>其他未列明</w:t>
      </w:r>
      <w:r>
        <w:rPr>
          <w:rFonts w:hint="eastAsia" w:ascii="Times New Roman" w:hAnsi="Times New Roman" w:eastAsia="宋体" w:cs="宋体"/>
          <w:b w:val="0"/>
          <w:bCs w:val="0"/>
          <w:caps w:val="0"/>
          <w:smallCaps w:val="0"/>
          <w:color w:val="auto"/>
          <w:sz w:val="24"/>
          <w:szCs w:val="24"/>
          <w:highlight w:val="none"/>
          <w:u w:val="none"/>
          <w:lang w:val="en-US" w:eastAsia="zh-CN" w:bidi="ar-SA"/>
        </w:rPr>
        <w:t>行业</w:t>
      </w:r>
      <w:r>
        <w:rPr>
          <w:rFonts w:hint="eastAsia" w:ascii="Times New Roman" w:hAnsi="Times New Roman" w:eastAsia="宋体" w:cs="宋体"/>
          <w:b w:val="0"/>
          <w:bCs w:val="0"/>
          <w:caps w:val="0"/>
          <w:smallCaps w:val="0"/>
          <w:color w:val="auto"/>
          <w:sz w:val="24"/>
          <w:szCs w:val="24"/>
          <w:highlight w:val="none"/>
          <w:lang w:val="en-US" w:eastAsia="zh-CN" w:bidi="ar-SA"/>
        </w:rPr>
        <w:t>的小微企业报价给予10%的扣除，用扣除后的价格参加评审。</w:t>
      </w:r>
    </w:p>
    <w:p w14:paraId="3DB270BA">
      <w:pPr>
        <w:pStyle w:val="11"/>
        <w:keepNext w:val="0"/>
        <w:keepLines w:val="0"/>
        <w:pageBreakBefore w:val="0"/>
        <w:widowControl w:val="0"/>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宋体" w:cs="Times New Roman"/>
          <w:b w:val="0"/>
          <w:bCs w:val="0"/>
          <w:caps w:val="0"/>
          <w:smallCaps w:val="0"/>
          <w:color w:val="auto"/>
          <w:kern w:val="0"/>
          <w:sz w:val="24"/>
          <w:szCs w:val="24"/>
          <w:highlight w:val="none"/>
          <w:lang w:val="en-US" w:eastAsia="zh-CN"/>
        </w:rPr>
      </w:pPr>
      <w:r>
        <w:rPr>
          <w:rFonts w:hint="eastAsia" w:ascii="Times New Roman" w:hAnsi="Times New Roman" w:eastAsia="宋体" w:cs="Times New Roman"/>
          <w:b w:val="0"/>
          <w:bCs w:val="0"/>
          <w:caps w:val="0"/>
          <w:smallCaps w:val="0"/>
          <w:color w:val="auto"/>
          <w:kern w:val="0"/>
          <w:sz w:val="24"/>
          <w:szCs w:val="24"/>
          <w:highlight w:val="none"/>
          <w:lang w:val="en-US" w:eastAsia="zh-CN"/>
        </w:rPr>
        <w:t>请投标人根据《政府采购促进中小企业发展管理办法》(财库〔2020〕46号)的规定，提供《中小企业声明函》，未提供的小微企业不享受价格评审优惠政策。投标人对《中小企业声明函》的真实性负责，如有虚假，采购人将向监管部门反映，投标人依法承担相应责任。</w:t>
      </w:r>
    </w:p>
    <w:p w14:paraId="556DF22C">
      <w:pPr>
        <w:keepNext w:val="0"/>
        <w:keepLines w:val="0"/>
        <w:pageBreakBefore w:val="0"/>
        <w:kinsoku/>
        <w:wordWrap/>
        <w:overflowPunct/>
        <w:topLinePunct w:val="0"/>
        <w:bidi w:val="0"/>
        <w:adjustRightInd/>
        <w:snapToGrid/>
        <w:spacing w:line="500" w:lineRule="exact"/>
        <w:ind w:left="0" w:leftChars="0" w:firstLine="480" w:firstLineChars="200"/>
        <w:textAlignment w:val="auto"/>
        <w:rPr>
          <w:rFonts w:hint="eastAsia" w:ascii="Times New Roman" w:hAnsi="Times New Roman" w:eastAsia="宋体"/>
          <w:b/>
          <w:bCs/>
          <w:caps w:val="0"/>
          <w:smallCaps w:val="0"/>
          <w:color w:val="auto"/>
          <w:sz w:val="24"/>
          <w:szCs w:val="24"/>
          <w:highlight w:val="none"/>
        </w:rPr>
      </w:pPr>
      <w:r>
        <w:rPr>
          <w:rFonts w:hint="eastAsia" w:ascii="Times New Roman" w:hAnsi="Times New Roman" w:eastAsia="宋体" w:cs="Times New Roman"/>
          <w:b w:val="0"/>
          <w:bCs w:val="0"/>
          <w:caps w:val="0"/>
          <w:smallCaps w:val="0"/>
          <w:color w:val="auto"/>
          <w:kern w:val="0"/>
          <w:sz w:val="24"/>
          <w:szCs w:val="24"/>
          <w:highlight w:val="none"/>
          <w:lang w:val="en-US" w:eastAsia="zh-CN"/>
        </w:rPr>
        <w:t>其他未尽事宜，按照《政府采购促进中小企业发展管理办法》(财库〔2020〕46号)规定执行。</w:t>
      </w:r>
    </w:p>
    <w:p w14:paraId="4D4FC991">
      <w:pPr>
        <w:keepNext w:val="0"/>
        <w:keepLines w:val="0"/>
        <w:pageBreakBefore w:val="0"/>
        <w:kinsoku/>
        <w:wordWrap/>
        <w:overflowPunct/>
        <w:topLinePunct w:val="0"/>
        <w:autoSpaceDE w:val="0"/>
        <w:autoSpaceDN w:val="0"/>
        <w:bidi w:val="0"/>
        <w:adjustRightInd/>
        <w:snapToGrid/>
        <w:spacing w:line="500" w:lineRule="exact"/>
        <w:ind w:left="0" w:leftChars="0" w:firstLine="472" w:firstLineChars="196"/>
        <w:textAlignment w:val="auto"/>
        <w:rPr>
          <w:rFonts w:hint="eastAsia" w:ascii="Times New Roman" w:hAnsi="Times New Roman" w:eastAsia="宋体"/>
          <w:b/>
          <w:bCs/>
          <w:caps w:val="0"/>
          <w:smallCaps w:val="0"/>
          <w:color w:val="auto"/>
          <w:sz w:val="24"/>
          <w:szCs w:val="24"/>
          <w:highlight w:val="none"/>
        </w:rPr>
      </w:pPr>
      <w:r>
        <w:rPr>
          <w:rFonts w:hint="eastAsia" w:eastAsia="宋体"/>
          <w:b/>
          <w:bCs/>
          <w:caps w:val="0"/>
          <w:smallCaps w:val="0"/>
          <w:color w:val="auto"/>
          <w:sz w:val="24"/>
          <w:szCs w:val="24"/>
          <w:highlight w:val="none"/>
          <w:lang w:val="en-US" w:eastAsia="zh-CN"/>
        </w:rPr>
        <w:t>2</w:t>
      </w:r>
      <w:r>
        <w:rPr>
          <w:rFonts w:hint="eastAsia" w:ascii="Times New Roman" w:hAnsi="Times New Roman" w:eastAsia="宋体"/>
          <w:b/>
          <w:bCs/>
          <w:caps w:val="0"/>
          <w:smallCaps w:val="0"/>
          <w:color w:val="auto"/>
          <w:sz w:val="24"/>
          <w:szCs w:val="24"/>
          <w:highlight w:val="none"/>
        </w:rPr>
        <w:t>.监狱企业优惠政策</w:t>
      </w:r>
    </w:p>
    <w:p w14:paraId="78D72170">
      <w:pPr>
        <w:keepNext w:val="0"/>
        <w:keepLines w:val="0"/>
        <w:pageBreakBefore w:val="0"/>
        <w:kinsoku/>
        <w:wordWrap/>
        <w:overflowPunct/>
        <w:topLinePunct w:val="0"/>
        <w:autoSpaceDE w:val="0"/>
        <w:autoSpaceDN w:val="0"/>
        <w:bidi w:val="0"/>
        <w:adjustRightInd/>
        <w:snapToGrid/>
        <w:spacing w:line="500" w:lineRule="exact"/>
        <w:ind w:left="0" w:leftChars="0" w:firstLine="480" w:firstLineChars="200"/>
        <w:textAlignment w:val="auto"/>
        <w:rPr>
          <w:rFonts w:hint="eastAsia" w:ascii="Times New Roman" w:hAnsi="Times New Roman" w:eastAsia="宋体"/>
          <w:caps w:val="0"/>
          <w:smallCaps w:val="0"/>
          <w:color w:val="auto"/>
          <w:sz w:val="24"/>
          <w:szCs w:val="24"/>
          <w:highlight w:val="none"/>
        </w:rPr>
      </w:pPr>
      <w:r>
        <w:rPr>
          <w:rFonts w:hint="eastAsia" w:ascii="Times New Roman" w:hAnsi="Times New Roman" w:eastAsia="宋体"/>
          <w:caps w:val="0"/>
          <w:smallCaps w:val="0"/>
          <w:color w:val="auto"/>
          <w:sz w:val="24"/>
          <w:szCs w:val="24"/>
          <w:highlight w:val="none"/>
        </w:rPr>
        <w:t>根据《关于政府采购支持监狱企业发展有关问题的通知》(财库</w:t>
      </w:r>
      <w:r>
        <w:rPr>
          <w:rFonts w:hint="eastAsia" w:ascii="Times New Roman" w:hAnsi="Times New Roman" w:eastAsia="宋体"/>
          <w:caps w:val="0"/>
          <w:smallCaps w:val="0"/>
          <w:color w:val="auto"/>
          <w:sz w:val="24"/>
          <w:szCs w:val="24"/>
          <w:highlight w:val="none"/>
          <w:lang w:eastAsia="zh-CN"/>
        </w:rPr>
        <w:t>〔</w:t>
      </w:r>
      <w:r>
        <w:rPr>
          <w:rFonts w:hint="eastAsia" w:ascii="Times New Roman" w:hAnsi="Times New Roman" w:eastAsia="宋体"/>
          <w:caps w:val="0"/>
          <w:smallCaps w:val="0"/>
          <w:color w:val="auto"/>
          <w:sz w:val="24"/>
          <w:szCs w:val="24"/>
          <w:highlight w:val="none"/>
        </w:rPr>
        <w:t>2014</w:t>
      </w:r>
      <w:r>
        <w:rPr>
          <w:rFonts w:hint="eastAsia" w:ascii="Times New Roman" w:hAnsi="Times New Roman" w:eastAsia="宋体"/>
          <w:caps w:val="0"/>
          <w:smallCaps w:val="0"/>
          <w:color w:val="auto"/>
          <w:sz w:val="24"/>
          <w:szCs w:val="24"/>
          <w:highlight w:val="none"/>
          <w:lang w:eastAsia="zh-CN"/>
        </w:rPr>
        <w:t>〕</w:t>
      </w:r>
      <w:r>
        <w:rPr>
          <w:rFonts w:hint="eastAsia" w:ascii="Times New Roman" w:hAnsi="Times New Roman" w:eastAsia="宋体"/>
          <w:caps w:val="0"/>
          <w:smallCaps w:val="0"/>
          <w:color w:val="auto"/>
          <w:sz w:val="24"/>
          <w:szCs w:val="24"/>
          <w:highlight w:val="none"/>
        </w:rPr>
        <w:t>68号)的规定，</w:t>
      </w:r>
      <w:r>
        <w:rPr>
          <w:rFonts w:hint="eastAsia" w:ascii="Times New Roman" w:hAnsi="Times New Roman" w:eastAsia="宋体"/>
          <w:caps w:val="0"/>
          <w:smallCaps w:val="0"/>
          <w:color w:val="auto"/>
          <w:sz w:val="24"/>
          <w:szCs w:val="24"/>
          <w:highlight w:val="none"/>
          <w:lang w:eastAsia="zh-CN"/>
        </w:rPr>
        <w:t>符合条件的</w:t>
      </w:r>
      <w:r>
        <w:rPr>
          <w:rFonts w:hint="eastAsia" w:ascii="Times New Roman" w:hAnsi="Times New Roman" w:eastAsia="宋体"/>
          <w:caps w:val="0"/>
          <w:smallCaps w:val="0"/>
          <w:color w:val="auto"/>
          <w:sz w:val="24"/>
          <w:szCs w:val="24"/>
          <w:highlight w:val="none"/>
        </w:rPr>
        <w:t>监狱企业参与本项目投标时，提供由省级以上监狱管理局、戒毒管理局(含新疆生产建设兵团)出具的属于监狱企业的证明文件的，视同小型、微型企业享受价格扣除等优惠政策。</w:t>
      </w:r>
    </w:p>
    <w:p w14:paraId="5EA4E8F2">
      <w:pPr>
        <w:keepNext w:val="0"/>
        <w:keepLines w:val="0"/>
        <w:pageBreakBefore w:val="0"/>
        <w:kinsoku/>
        <w:wordWrap/>
        <w:overflowPunct/>
        <w:topLinePunct w:val="0"/>
        <w:autoSpaceDE w:val="0"/>
        <w:autoSpaceDN w:val="0"/>
        <w:bidi w:val="0"/>
        <w:adjustRightInd/>
        <w:snapToGrid/>
        <w:spacing w:line="500" w:lineRule="exact"/>
        <w:ind w:left="0" w:leftChars="0" w:firstLine="472" w:firstLineChars="196"/>
        <w:textAlignment w:val="auto"/>
        <w:rPr>
          <w:rFonts w:hint="eastAsia" w:ascii="Times New Roman" w:hAnsi="Times New Roman" w:eastAsia="宋体"/>
          <w:b/>
          <w:bCs/>
          <w:caps w:val="0"/>
          <w:smallCaps w:val="0"/>
          <w:color w:val="auto"/>
          <w:sz w:val="24"/>
          <w:szCs w:val="24"/>
          <w:highlight w:val="none"/>
        </w:rPr>
      </w:pPr>
      <w:r>
        <w:rPr>
          <w:rFonts w:hint="eastAsia" w:eastAsia="宋体"/>
          <w:b/>
          <w:bCs/>
          <w:caps w:val="0"/>
          <w:smallCaps w:val="0"/>
          <w:color w:val="auto"/>
          <w:sz w:val="24"/>
          <w:szCs w:val="24"/>
          <w:highlight w:val="none"/>
          <w:lang w:val="en-US" w:eastAsia="zh-CN"/>
        </w:rPr>
        <w:t>3.</w:t>
      </w:r>
      <w:r>
        <w:rPr>
          <w:rFonts w:hint="eastAsia" w:ascii="Times New Roman" w:hAnsi="Times New Roman" w:eastAsia="宋体"/>
          <w:b/>
          <w:bCs/>
          <w:caps w:val="0"/>
          <w:smallCaps w:val="0"/>
          <w:color w:val="auto"/>
          <w:sz w:val="24"/>
          <w:szCs w:val="24"/>
          <w:highlight w:val="none"/>
        </w:rPr>
        <w:t>残疾人福利性单位优惠政策</w:t>
      </w:r>
    </w:p>
    <w:p w14:paraId="2FAC9AE1">
      <w:pPr>
        <w:keepNext w:val="0"/>
        <w:keepLines w:val="0"/>
        <w:pageBreakBefore w:val="0"/>
        <w:kinsoku/>
        <w:wordWrap/>
        <w:overflowPunct/>
        <w:topLinePunct w:val="0"/>
        <w:autoSpaceDE w:val="0"/>
        <w:bidi w:val="0"/>
        <w:adjustRightInd/>
        <w:snapToGrid/>
        <w:spacing w:line="500" w:lineRule="exact"/>
        <w:ind w:left="0" w:leftChars="0" w:firstLine="480" w:firstLineChars="200"/>
        <w:textAlignment w:val="auto"/>
        <w:rPr>
          <w:rFonts w:hint="eastAsia" w:ascii="Times New Roman" w:hAnsi="Times New Roman" w:eastAsia="宋体"/>
          <w:b/>
          <w:caps w:val="0"/>
          <w:smallCaps w:val="0"/>
          <w:color w:val="auto"/>
          <w:sz w:val="24"/>
          <w:szCs w:val="24"/>
          <w:highlight w:val="none"/>
        </w:rPr>
      </w:pPr>
      <w:r>
        <w:rPr>
          <w:rFonts w:hint="eastAsia" w:ascii="Times New Roman" w:hAnsi="Times New Roman" w:eastAsia="宋体"/>
          <w:caps w:val="0"/>
          <w:smallCaps w:val="0"/>
          <w:color w:val="auto"/>
          <w:sz w:val="24"/>
          <w:szCs w:val="24"/>
          <w:highlight w:val="none"/>
        </w:rPr>
        <w:t>根据《关于促进残疾人就业政府采购政策的通知》(财库</w:t>
      </w:r>
      <w:r>
        <w:rPr>
          <w:rFonts w:hint="eastAsia" w:ascii="Times New Roman" w:hAnsi="Times New Roman" w:eastAsia="宋体"/>
          <w:caps w:val="0"/>
          <w:smallCaps w:val="0"/>
          <w:color w:val="auto"/>
          <w:sz w:val="24"/>
          <w:szCs w:val="24"/>
          <w:highlight w:val="none"/>
          <w:lang w:eastAsia="zh-CN"/>
        </w:rPr>
        <w:t>〔</w:t>
      </w:r>
      <w:r>
        <w:rPr>
          <w:rFonts w:hint="eastAsia" w:ascii="Times New Roman" w:hAnsi="Times New Roman" w:eastAsia="宋体"/>
          <w:caps w:val="0"/>
          <w:smallCaps w:val="0"/>
          <w:color w:val="auto"/>
          <w:sz w:val="24"/>
          <w:szCs w:val="24"/>
          <w:highlight w:val="none"/>
        </w:rPr>
        <w:t>2017</w:t>
      </w:r>
      <w:r>
        <w:rPr>
          <w:rFonts w:hint="eastAsia" w:ascii="Times New Roman" w:hAnsi="Times New Roman" w:eastAsia="宋体"/>
          <w:caps w:val="0"/>
          <w:smallCaps w:val="0"/>
          <w:color w:val="auto"/>
          <w:sz w:val="24"/>
          <w:szCs w:val="24"/>
          <w:highlight w:val="none"/>
          <w:lang w:eastAsia="zh-CN"/>
        </w:rPr>
        <w:t>〕</w:t>
      </w:r>
      <w:r>
        <w:rPr>
          <w:rFonts w:hint="eastAsia" w:ascii="Times New Roman" w:hAnsi="Times New Roman" w:eastAsia="宋体"/>
          <w:caps w:val="0"/>
          <w:smallCaps w:val="0"/>
          <w:color w:val="auto"/>
          <w:sz w:val="24"/>
          <w:szCs w:val="24"/>
          <w:highlight w:val="none"/>
        </w:rPr>
        <w:t>141号)的规定，</w:t>
      </w:r>
      <w:r>
        <w:rPr>
          <w:rFonts w:hint="eastAsia" w:ascii="Times New Roman" w:hAnsi="Times New Roman" w:eastAsia="宋体"/>
          <w:caps w:val="0"/>
          <w:smallCaps w:val="0"/>
          <w:color w:val="auto"/>
          <w:sz w:val="24"/>
          <w:szCs w:val="24"/>
          <w:highlight w:val="none"/>
          <w:lang w:eastAsia="zh-CN"/>
        </w:rPr>
        <w:t>符合条件的</w:t>
      </w:r>
      <w:r>
        <w:rPr>
          <w:rFonts w:hint="eastAsia" w:ascii="Times New Roman" w:hAnsi="Times New Roman" w:eastAsia="宋体"/>
          <w:caps w:val="0"/>
          <w:smallCaps w:val="0"/>
          <w:color w:val="auto"/>
          <w:sz w:val="24"/>
          <w:szCs w:val="24"/>
          <w:highlight w:val="none"/>
        </w:rPr>
        <w:t>残疾人福利性单位参与本项目投标时，提供《残疾人福利性单位声明函》并对声明的真实性负责，视同小型、微型企业享受价格扣除等优惠政策。</w:t>
      </w:r>
      <w:r>
        <w:rPr>
          <w:rFonts w:hint="eastAsia" w:ascii="Times New Roman" w:hAnsi="Times New Roman" w:eastAsia="宋体"/>
          <w:b/>
          <w:caps w:val="0"/>
          <w:smallCaps w:val="0"/>
          <w:color w:val="auto"/>
          <w:sz w:val="24"/>
          <w:szCs w:val="24"/>
          <w:highlight w:val="none"/>
        </w:rPr>
        <w:t>投标人对《残疾人福利性单位声明函》的真实性负责，如有虚假，自行承担相应责任。</w:t>
      </w:r>
    </w:p>
    <w:p w14:paraId="62872358">
      <w:pPr>
        <w:keepNext w:val="0"/>
        <w:keepLines w:val="0"/>
        <w:pageBreakBefore w:val="0"/>
        <w:kinsoku/>
        <w:wordWrap/>
        <w:overflowPunct/>
        <w:topLinePunct w:val="0"/>
        <w:autoSpaceDE w:val="0"/>
        <w:autoSpaceDN w:val="0"/>
        <w:bidi w:val="0"/>
        <w:adjustRightInd/>
        <w:snapToGrid/>
        <w:spacing w:line="500" w:lineRule="exact"/>
        <w:ind w:left="0" w:leftChars="0" w:firstLine="472" w:firstLineChars="196"/>
        <w:textAlignment w:val="auto"/>
        <w:rPr>
          <w:rFonts w:hint="eastAsia" w:ascii="Times New Roman" w:hAnsi="Times New Roman" w:eastAsia="宋体"/>
          <w:b/>
          <w:bCs/>
          <w:caps w:val="0"/>
          <w:smallCaps w:val="0"/>
          <w:color w:val="auto"/>
          <w:sz w:val="24"/>
          <w:szCs w:val="24"/>
          <w:highlight w:val="none"/>
        </w:rPr>
      </w:pPr>
      <w:r>
        <w:rPr>
          <w:rFonts w:hint="eastAsia" w:eastAsia="宋体"/>
          <w:b/>
          <w:bCs/>
          <w:caps w:val="0"/>
          <w:smallCaps w:val="0"/>
          <w:color w:val="auto"/>
          <w:sz w:val="24"/>
          <w:szCs w:val="24"/>
          <w:highlight w:val="none"/>
          <w:lang w:val="en-US" w:eastAsia="zh-CN"/>
        </w:rPr>
        <w:t>4.</w:t>
      </w:r>
      <w:r>
        <w:rPr>
          <w:rFonts w:hint="eastAsia" w:ascii="Times New Roman" w:hAnsi="Times New Roman" w:eastAsia="宋体"/>
          <w:b/>
          <w:bCs/>
          <w:caps w:val="0"/>
          <w:smallCaps w:val="0"/>
          <w:color w:val="auto"/>
          <w:sz w:val="24"/>
          <w:szCs w:val="24"/>
          <w:highlight w:val="none"/>
        </w:rPr>
        <w:t>节能产品及环境标志产品政策</w:t>
      </w:r>
    </w:p>
    <w:p w14:paraId="55CC1D95">
      <w:pPr>
        <w:pStyle w:val="13"/>
        <w:ind w:firstLine="480" w:firstLineChars="200"/>
        <w:rPr>
          <w:rFonts w:hint="eastAsia" w:ascii="宋体" w:hAnsi="宋体" w:cs="宋体"/>
          <w:color w:val="auto"/>
          <w:sz w:val="24"/>
          <w:szCs w:val="24"/>
          <w:highlight w:val="none"/>
        </w:rPr>
      </w:pPr>
      <w:r>
        <w:rPr>
          <w:rFonts w:hint="eastAsia" w:ascii="Times New Roman" w:hAnsi="Times New Roman" w:eastAsia="宋体"/>
          <w:caps w:val="0"/>
          <w:smallCaps w:val="0"/>
          <w:color w:val="auto"/>
          <w:sz w:val="24"/>
          <w:szCs w:val="24"/>
          <w:highlight w:val="none"/>
        </w:rPr>
        <w:t>按照“财政部 发展改革委 生态环境部 市场监管总局 关于调整优化节能产品、环境标志产品政府采购执行机制的通知</w:t>
      </w:r>
      <w:r>
        <w:rPr>
          <w:rFonts w:hint="eastAsia" w:ascii="Times New Roman" w:hAnsi="Times New Roman" w:eastAsia="宋体"/>
          <w:caps w:val="0"/>
          <w:smallCaps w:val="0"/>
          <w:color w:val="auto"/>
          <w:sz w:val="24"/>
          <w:szCs w:val="24"/>
          <w:highlight w:val="none"/>
          <w:lang w:eastAsia="zh-CN"/>
        </w:rPr>
        <w:t>”</w:t>
      </w:r>
      <w:r>
        <w:rPr>
          <w:rFonts w:hint="eastAsia" w:ascii="Times New Roman" w:hAnsi="Times New Roman" w:eastAsia="宋体"/>
          <w:caps w:val="0"/>
          <w:smallCaps w:val="0"/>
          <w:color w:val="auto"/>
          <w:sz w:val="24"/>
          <w:szCs w:val="24"/>
          <w:highlight w:val="none"/>
        </w:rPr>
        <w:t>财库〔2019〕9号的规定执行。</w:t>
      </w:r>
    </w:p>
    <w:p w14:paraId="268D798E">
      <w:pPr>
        <w:autoSpaceDE w:val="0"/>
        <w:autoSpaceDN w:val="0"/>
        <w:spacing w:line="480" w:lineRule="exact"/>
        <w:ind w:firstLine="472" w:firstLineChars="196"/>
        <w:rPr>
          <w:rFonts w:hint="eastAsia"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5</w:t>
      </w:r>
      <w:r>
        <w:rPr>
          <w:rFonts w:hint="eastAsia" w:ascii="宋体" w:hAnsi="宋体" w:cs="宋体"/>
          <w:b/>
          <w:bCs/>
          <w:color w:val="auto"/>
          <w:sz w:val="24"/>
          <w:szCs w:val="24"/>
          <w:highlight w:val="none"/>
        </w:rPr>
        <w:t>.综合评分方式</w:t>
      </w:r>
    </w:p>
    <w:tbl>
      <w:tblPr>
        <w:tblStyle w:val="33"/>
        <w:tblW w:w="10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1"/>
        <w:gridCol w:w="2554"/>
        <w:gridCol w:w="4225"/>
      </w:tblGrid>
      <w:tr w14:paraId="43BD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3511" w:type="dxa"/>
            <w:vAlign w:val="center"/>
          </w:tcPr>
          <w:p w14:paraId="4EDCC2C4">
            <w:pPr>
              <w:pStyle w:val="13"/>
              <w:spacing w:line="360" w:lineRule="auto"/>
              <w:ind w:firstLine="0"/>
              <w:jc w:val="center"/>
              <w:rPr>
                <w:rFonts w:ascii="宋体" w:hAnsi="宋体" w:cs="宋体"/>
                <w:b/>
                <w:color w:val="auto"/>
                <w:sz w:val="24"/>
                <w:szCs w:val="24"/>
                <w:highlight w:val="none"/>
              </w:rPr>
            </w:pPr>
            <w:r>
              <w:rPr>
                <w:rFonts w:hint="eastAsia" w:ascii="宋体" w:hAnsi="宋体" w:cs="宋体"/>
                <w:b/>
                <w:color w:val="auto"/>
                <w:sz w:val="24"/>
                <w:szCs w:val="24"/>
                <w:highlight w:val="none"/>
              </w:rPr>
              <w:t>评分因素</w:t>
            </w:r>
          </w:p>
        </w:tc>
        <w:tc>
          <w:tcPr>
            <w:tcW w:w="2554" w:type="dxa"/>
            <w:vAlign w:val="center"/>
          </w:tcPr>
          <w:p w14:paraId="69132765">
            <w:pPr>
              <w:pStyle w:val="13"/>
              <w:spacing w:line="360" w:lineRule="auto"/>
              <w:ind w:firstLine="0"/>
              <w:jc w:val="center"/>
              <w:rPr>
                <w:rFonts w:ascii="宋体" w:hAnsi="宋体" w:cs="宋体"/>
                <w:b/>
                <w:color w:val="auto"/>
                <w:sz w:val="24"/>
                <w:szCs w:val="24"/>
                <w:highlight w:val="none"/>
              </w:rPr>
            </w:pPr>
            <w:r>
              <w:rPr>
                <w:rFonts w:hint="eastAsia" w:ascii="宋体" w:hAnsi="宋体" w:cs="宋体"/>
                <w:b/>
                <w:color w:val="auto"/>
                <w:sz w:val="24"/>
                <w:szCs w:val="24"/>
                <w:highlight w:val="none"/>
              </w:rPr>
              <w:t>权重</w:t>
            </w:r>
          </w:p>
        </w:tc>
        <w:tc>
          <w:tcPr>
            <w:tcW w:w="4225" w:type="dxa"/>
            <w:vAlign w:val="center"/>
          </w:tcPr>
          <w:p w14:paraId="254D2218">
            <w:pPr>
              <w:pStyle w:val="13"/>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分值分配</w:t>
            </w:r>
          </w:p>
        </w:tc>
      </w:tr>
      <w:tr w14:paraId="3570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1" w:type="dxa"/>
            <w:vAlign w:val="center"/>
          </w:tcPr>
          <w:p w14:paraId="51523C61">
            <w:pPr>
              <w:pStyle w:val="13"/>
              <w:spacing w:line="360" w:lineRule="auto"/>
              <w:ind w:firstLine="0"/>
              <w:jc w:val="center"/>
              <w:rPr>
                <w:rFonts w:ascii="宋体" w:hAnsi="宋体" w:cs="宋体"/>
                <w:color w:val="auto"/>
                <w:sz w:val="24"/>
                <w:szCs w:val="24"/>
                <w:highlight w:val="none"/>
              </w:rPr>
            </w:pPr>
            <w:r>
              <w:rPr>
                <w:rFonts w:hint="eastAsia" w:ascii="宋体" w:hAnsi="宋体" w:cs="宋体"/>
                <w:color w:val="auto"/>
                <w:sz w:val="24"/>
                <w:szCs w:val="24"/>
                <w:highlight w:val="none"/>
              </w:rPr>
              <w:t>投标报价</w:t>
            </w:r>
          </w:p>
        </w:tc>
        <w:tc>
          <w:tcPr>
            <w:tcW w:w="2554" w:type="dxa"/>
            <w:vAlign w:val="center"/>
          </w:tcPr>
          <w:p w14:paraId="7B75DA51">
            <w:pPr>
              <w:pStyle w:val="13"/>
              <w:spacing w:line="360" w:lineRule="auto"/>
              <w:ind w:firstLine="0"/>
              <w:jc w:val="center"/>
              <w:rPr>
                <w:rFonts w:ascii="宋体" w:hAnsi="宋体" w:cs="宋体"/>
                <w:color w:val="auto"/>
                <w:sz w:val="24"/>
                <w:szCs w:val="24"/>
                <w:highlight w:val="none"/>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t>0</w:t>
            </w:r>
          </w:p>
        </w:tc>
        <w:tc>
          <w:tcPr>
            <w:tcW w:w="4225" w:type="dxa"/>
            <w:vAlign w:val="center"/>
          </w:tcPr>
          <w:p w14:paraId="2E91D07E">
            <w:pPr>
              <w:pStyle w:val="13"/>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0分</w:t>
            </w:r>
          </w:p>
        </w:tc>
      </w:tr>
      <w:tr w14:paraId="6700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1" w:type="dxa"/>
            <w:vAlign w:val="center"/>
          </w:tcPr>
          <w:p w14:paraId="02A76141">
            <w:pPr>
              <w:pStyle w:val="13"/>
              <w:spacing w:line="360" w:lineRule="auto"/>
              <w:ind w:firstLine="0"/>
              <w:jc w:val="center"/>
              <w:rPr>
                <w:rFonts w:ascii="宋体" w:hAnsi="宋体" w:cs="宋体"/>
                <w:color w:val="auto"/>
                <w:sz w:val="24"/>
                <w:szCs w:val="24"/>
                <w:highlight w:val="none"/>
              </w:rPr>
            </w:pPr>
            <w:r>
              <w:rPr>
                <w:rFonts w:ascii="宋体" w:hAnsi="宋体"/>
                <w:bCs/>
                <w:color w:val="auto"/>
                <w:sz w:val="24"/>
                <w:szCs w:val="24"/>
                <w:highlight w:val="none"/>
              </w:rPr>
              <w:t>技</w:t>
            </w:r>
            <w:r>
              <w:rPr>
                <w:rFonts w:hint="eastAsia" w:ascii="宋体" w:hAnsi="宋体" w:cs="宋体"/>
                <w:bCs/>
                <w:color w:val="auto"/>
                <w:sz w:val="24"/>
                <w:szCs w:val="24"/>
                <w:highlight w:val="none"/>
              </w:rPr>
              <w:t>术</w:t>
            </w:r>
            <w:r>
              <w:rPr>
                <w:rFonts w:hint="eastAsia" w:ascii="宋体" w:hAnsi="宋体" w:cs="Malgun Gothic"/>
                <w:bCs/>
                <w:color w:val="auto"/>
                <w:sz w:val="24"/>
                <w:szCs w:val="24"/>
                <w:highlight w:val="none"/>
              </w:rPr>
              <w:t>部分</w:t>
            </w:r>
          </w:p>
        </w:tc>
        <w:tc>
          <w:tcPr>
            <w:tcW w:w="2554" w:type="dxa"/>
            <w:vAlign w:val="center"/>
          </w:tcPr>
          <w:p w14:paraId="277A997C">
            <w:pPr>
              <w:pStyle w:val="13"/>
              <w:spacing w:line="360" w:lineRule="auto"/>
              <w:ind w:firstLine="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65</w:t>
            </w:r>
          </w:p>
        </w:tc>
        <w:tc>
          <w:tcPr>
            <w:tcW w:w="4225" w:type="dxa"/>
            <w:vAlign w:val="center"/>
          </w:tcPr>
          <w:p w14:paraId="2B109573">
            <w:pPr>
              <w:pStyle w:val="13"/>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65</w:t>
            </w:r>
            <w:r>
              <w:rPr>
                <w:rFonts w:hint="eastAsia" w:ascii="宋体" w:hAnsi="宋体" w:cs="宋体"/>
                <w:color w:val="auto"/>
                <w:sz w:val="24"/>
                <w:szCs w:val="24"/>
                <w:highlight w:val="none"/>
              </w:rPr>
              <w:t>分</w:t>
            </w:r>
          </w:p>
        </w:tc>
      </w:tr>
      <w:tr w14:paraId="0A17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511" w:type="dxa"/>
            <w:vAlign w:val="center"/>
          </w:tcPr>
          <w:p w14:paraId="6271AC5F">
            <w:pPr>
              <w:pStyle w:val="13"/>
              <w:spacing w:line="360" w:lineRule="auto"/>
              <w:ind w:firstLine="0"/>
              <w:jc w:val="center"/>
              <w:rPr>
                <w:rFonts w:ascii="宋体" w:hAnsi="宋体" w:cs="宋体"/>
                <w:color w:val="auto"/>
                <w:sz w:val="24"/>
                <w:szCs w:val="24"/>
                <w:highlight w:val="none"/>
              </w:rPr>
            </w:pPr>
            <w:r>
              <w:rPr>
                <w:rFonts w:hint="eastAsia" w:ascii="宋体" w:hAnsi="宋体" w:cs="宋体"/>
                <w:color w:val="auto"/>
                <w:sz w:val="24"/>
                <w:szCs w:val="24"/>
                <w:highlight w:val="none"/>
              </w:rPr>
              <w:t>商务部分</w:t>
            </w:r>
          </w:p>
        </w:tc>
        <w:tc>
          <w:tcPr>
            <w:tcW w:w="2554" w:type="dxa"/>
            <w:vAlign w:val="center"/>
          </w:tcPr>
          <w:p w14:paraId="655FCF55">
            <w:pPr>
              <w:pStyle w:val="13"/>
              <w:spacing w:line="360" w:lineRule="auto"/>
              <w:ind w:firstLine="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15</w:t>
            </w:r>
          </w:p>
        </w:tc>
        <w:tc>
          <w:tcPr>
            <w:tcW w:w="4225" w:type="dxa"/>
            <w:vAlign w:val="center"/>
          </w:tcPr>
          <w:p w14:paraId="7BD1656B">
            <w:pPr>
              <w:pStyle w:val="13"/>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rPr>
              <w:t>分</w:t>
            </w:r>
          </w:p>
        </w:tc>
      </w:tr>
      <w:tr w14:paraId="3DB8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3511" w:type="dxa"/>
            <w:vAlign w:val="center"/>
          </w:tcPr>
          <w:p w14:paraId="08969FFC">
            <w:pPr>
              <w:pStyle w:val="13"/>
              <w:spacing w:line="360" w:lineRule="auto"/>
              <w:ind w:firstLine="0"/>
              <w:jc w:val="center"/>
              <w:rPr>
                <w:rFonts w:ascii="宋体" w:hAnsi="宋体" w:cs="宋体"/>
                <w:color w:val="auto"/>
                <w:sz w:val="24"/>
                <w:szCs w:val="24"/>
                <w:highlight w:val="none"/>
              </w:rPr>
            </w:pPr>
            <w:r>
              <w:rPr>
                <w:rFonts w:hint="eastAsia" w:ascii="宋体" w:hAnsi="宋体" w:cs="宋体"/>
                <w:color w:val="auto"/>
                <w:sz w:val="24"/>
                <w:szCs w:val="24"/>
                <w:highlight w:val="none"/>
              </w:rPr>
              <w:t>合计</w:t>
            </w:r>
          </w:p>
        </w:tc>
        <w:tc>
          <w:tcPr>
            <w:tcW w:w="2554" w:type="dxa"/>
            <w:vAlign w:val="center"/>
          </w:tcPr>
          <w:p w14:paraId="7BB9E9F5">
            <w:pPr>
              <w:pStyle w:val="13"/>
              <w:spacing w:line="360" w:lineRule="auto"/>
              <w:ind w:firstLine="0"/>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4225" w:type="dxa"/>
            <w:vAlign w:val="center"/>
          </w:tcPr>
          <w:p w14:paraId="7A14089C">
            <w:pPr>
              <w:pStyle w:val="13"/>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100分</w:t>
            </w:r>
          </w:p>
        </w:tc>
      </w:tr>
    </w:tbl>
    <w:p w14:paraId="5B7040BE">
      <w:pPr>
        <w:pStyle w:val="13"/>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具体评审细则如下：</w:t>
      </w:r>
    </w:p>
    <w:tbl>
      <w:tblPr>
        <w:tblStyle w:val="3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1234"/>
        <w:gridCol w:w="1347"/>
        <w:gridCol w:w="6707"/>
      </w:tblGrid>
      <w:tr w14:paraId="3622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2" w:type="dxa"/>
            <w:shd w:val="clear" w:color="auto" w:fill="E0E0E0"/>
            <w:vAlign w:val="center"/>
          </w:tcPr>
          <w:p w14:paraId="775BDA26">
            <w:pPr>
              <w:keepNext w:val="0"/>
              <w:keepLines w:val="0"/>
              <w:pageBreakBefore w:val="0"/>
              <w:kinsoku/>
              <w:wordWrap/>
              <w:overflowPunct/>
              <w:topLinePunct w:val="0"/>
              <w:bidi w:val="0"/>
              <w:snapToGrid w:val="0"/>
              <w:spacing w:line="500" w:lineRule="exact"/>
              <w:jc w:val="center"/>
              <w:textAlignment w:val="auto"/>
              <w:rPr>
                <w:rFonts w:hint="eastAsia" w:ascii="宋体" w:hAnsi="宋体"/>
                <w:b/>
                <w:color w:val="auto"/>
                <w:sz w:val="24"/>
                <w:highlight w:val="none"/>
              </w:rPr>
            </w:pPr>
            <w:r>
              <w:rPr>
                <w:rFonts w:hint="eastAsia" w:ascii="宋体" w:hAnsi="宋体"/>
                <w:b/>
                <w:color w:val="auto"/>
                <w:sz w:val="24"/>
                <w:highlight w:val="none"/>
              </w:rPr>
              <w:t>评分因素</w:t>
            </w:r>
          </w:p>
        </w:tc>
        <w:tc>
          <w:tcPr>
            <w:tcW w:w="1234" w:type="dxa"/>
            <w:shd w:val="clear" w:color="auto" w:fill="E0E0E0"/>
            <w:vAlign w:val="center"/>
          </w:tcPr>
          <w:p w14:paraId="387AEE74">
            <w:pPr>
              <w:keepNext w:val="0"/>
              <w:keepLines w:val="0"/>
              <w:pageBreakBefore w:val="0"/>
              <w:kinsoku/>
              <w:wordWrap/>
              <w:overflowPunct/>
              <w:topLinePunct w:val="0"/>
              <w:bidi w:val="0"/>
              <w:snapToGrid w:val="0"/>
              <w:spacing w:line="500" w:lineRule="exact"/>
              <w:jc w:val="center"/>
              <w:textAlignment w:val="auto"/>
              <w:rPr>
                <w:rFonts w:hint="eastAsia" w:ascii="宋体" w:hAnsi="宋体"/>
                <w:b/>
                <w:color w:val="auto"/>
                <w:sz w:val="24"/>
                <w:highlight w:val="none"/>
              </w:rPr>
            </w:pPr>
            <w:r>
              <w:rPr>
                <w:rFonts w:hint="eastAsia" w:ascii="宋体" w:hAnsi="宋体"/>
                <w:b/>
                <w:color w:val="auto"/>
                <w:sz w:val="24"/>
                <w:highlight w:val="none"/>
              </w:rPr>
              <w:t>内容</w:t>
            </w:r>
          </w:p>
        </w:tc>
        <w:tc>
          <w:tcPr>
            <w:tcW w:w="1347" w:type="dxa"/>
            <w:shd w:val="clear" w:color="auto" w:fill="E0E0E0"/>
            <w:vAlign w:val="center"/>
          </w:tcPr>
          <w:p w14:paraId="47447D2D">
            <w:pPr>
              <w:keepNext w:val="0"/>
              <w:keepLines w:val="0"/>
              <w:pageBreakBefore w:val="0"/>
              <w:kinsoku/>
              <w:wordWrap/>
              <w:overflowPunct/>
              <w:topLinePunct w:val="0"/>
              <w:bidi w:val="0"/>
              <w:snapToGrid w:val="0"/>
              <w:spacing w:line="500" w:lineRule="exact"/>
              <w:jc w:val="center"/>
              <w:textAlignment w:val="auto"/>
              <w:rPr>
                <w:rFonts w:hint="eastAsia" w:ascii="宋体" w:hAnsi="宋体"/>
                <w:b/>
                <w:color w:val="auto"/>
                <w:sz w:val="24"/>
                <w:highlight w:val="none"/>
              </w:rPr>
            </w:pPr>
            <w:r>
              <w:rPr>
                <w:rFonts w:hint="eastAsia" w:ascii="宋体" w:hAnsi="宋体"/>
                <w:b/>
                <w:color w:val="auto"/>
                <w:sz w:val="24"/>
                <w:highlight w:val="none"/>
              </w:rPr>
              <w:t>分值</w:t>
            </w:r>
          </w:p>
        </w:tc>
        <w:tc>
          <w:tcPr>
            <w:tcW w:w="6707" w:type="dxa"/>
            <w:shd w:val="clear" w:color="auto" w:fill="E0E0E0"/>
            <w:vAlign w:val="center"/>
          </w:tcPr>
          <w:p w14:paraId="7A68406E">
            <w:pPr>
              <w:keepNext w:val="0"/>
              <w:keepLines w:val="0"/>
              <w:pageBreakBefore w:val="0"/>
              <w:kinsoku/>
              <w:wordWrap/>
              <w:overflowPunct/>
              <w:topLinePunct w:val="0"/>
              <w:bidi w:val="0"/>
              <w:adjustRightInd w:val="0"/>
              <w:snapToGrid w:val="0"/>
              <w:spacing w:line="500" w:lineRule="exact"/>
              <w:jc w:val="center"/>
              <w:textAlignment w:val="auto"/>
              <w:rPr>
                <w:rFonts w:ascii="宋体" w:hAnsi="宋体"/>
                <w:b/>
                <w:color w:val="auto"/>
                <w:sz w:val="24"/>
                <w:highlight w:val="none"/>
              </w:rPr>
            </w:pPr>
            <w:r>
              <w:rPr>
                <w:rFonts w:hint="eastAsia" w:ascii="宋体" w:hAnsi="宋体"/>
                <w:b/>
                <w:color w:val="auto"/>
                <w:sz w:val="24"/>
                <w:highlight w:val="none"/>
              </w:rPr>
              <w:t>评审标准</w:t>
            </w:r>
          </w:p>
        </w:tc>
      </w:tr>
      <w:tr w14:paraId="4929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2" w:type="dxa"/>
            <w:vAlign w:val="center"/>
          </w:tcPr>
          <w:p w14:paraId="6D3E459E">
            <w:pPr>
              <w:keepNext w:val="0"/>
              <w:keepLines w:val="0"/>
              <w:pageBreakBefore w:val="0"/>
              <w:kinsoku/>
              <w:wordWrap/>
              <w:overflowPunct/>
              <w:topLinePunct w:val="0"/>
              <w:bidi w:val="0"/>
              <w:spacing w:line="500" w:lineRule="exact"/>
              <w:jc w:val="center"/>
              <w:textAlignment w:val="auto"/>
              <w:rPr>
                <w:rFonts w:hint="eastAsia" w:ascii="宋体" w:hAnsi="宋体"/>
                <w:bCs/>
                <w:color w:val="auto"/>
                <w:sz w:val="24"/>
                <w:highlight w:val="none"/>
              </w:rPr>
            </w:pPr>
            <w:r>
              <w:rPr>
                <w:rFonts w:hint="eastAsia" w:ascii="宋体" w:hAnsi="宋体"/>
                <w:bCs/>
                <w:color w:val="auto"/>
                <w:sz w:val="24"/>
                <w:highlight w:val="none"/>
              </w:rPr>
              <w:t>投</w:t>
            </w:r>
            <w:r>
              <w:rPr>
                <w:rFonts w:hint="eastAsia" w:ascii="宋体" w:hAnsi="宋体" w:cs="宋体"/>
                <w:bCs/>
                <w:color w:val="auto"/>
                <w:sz w:val="24"/>
                <w:highlight w:val="none"/>
              </w:rPr>
              <w:t>标报</w:t>
            </w:r>
            <w:r>
              <w:rPr>
                <w:rFonts w:hint="eastAsia" w:ascii="宋体" w:hAnsi="宋体" w:cs="Malgun Gothic"/>
                <w:bCs/>
                <w:color w:val="auto"/>
                <w:sz w:val="24"/>
                <w:highlight w:val="none"/>
              </w:rPr>
              <w:t>价</w:t>
            </w:r>
            <w:r>
              <w:rPr>
                <w:rFonts w:hint="eastAsia" w:ascii="宋体" w:hAnsi="宋体" w:cs="宋体"/>
                <w:bCs/>
                <w:color w:val="auto"/>
                <w:sz w:val="24"/>
                <w:highlight w:val="none"/>
              </w:rPr>
              <w:t>评审</w:t>
            </w:r>
          </w:p>
        </w:tc>
        <w:tc>
          <w:tcPr>
            <w:tcW w:w="1234" w:type="dxa"/>
            <w:vAlign w:val="center"/>
          </w:tcPr>
          <w:p w14:paraId="0385DE87">
            <w:pPr>
              <w:keepNext w:val="0"/>
              <w:keepLines w:val="0"/>
              <w:pageBreakBefore w:val="0"/>
              <w:kinsoku/>
              <w:wordWrap/>
              <w:overflowPunct/>
              <w:topLinePunct w:val="0"/>
              <w:bidi w:val="0"/>
              <w:spacing w:line="500" w:lineRule="exact"/>
              <w:jc w:val="center"/>
              <w:textAlignment w:val="auto"/>
              <w:rPr>
                <w:rFonts w:hint="eastAsia" w:ascii="宋体" w:hAnsi="宋体"/>
                <w:bCs/>
                <w:color w:val="auto"/>
                <w:sz w:val="24"/>
                <w:highlight w:val="none"/>
              </w:rPr>
            </w:pPr>
            <w:r>
              <w:rPr>
                <w:rFonts w:hint="eastAsia" w:ascii="宋体" w:hAnsi="宋体"/>
                <w:bCs/>
                <w:color w:val="auto"/>
                <w:sz w:val="24"/>
                <w:highlight w:val="none"/>
              </w:rPr>
              <w:t>投</w:t>
            </w:r>
            <w:r>
              <w:rPr>
                <w:rFonts w:hint="eastAsia" w:ascii="宋体" w:hAnsi="宋体" w:cs="宋体"/>
                <w:bCs/>
                <w:color w:val="auto"/>
                <w:sz w:val="24"/>
                <w:highlight w:val="none"/>
              </w:rPr>
              <w:t>标报</w:t>
            </w:r>
            <w:r>
              <w:rPr>
                <w:rFonts w:hint="eastAsia" w:ascii="宋体" w:hAnsi="宋体" w:cs="Malgun Gothic"/>
                <w:bCs/>
                <w:color w:val="auto"/>
                <w:sz w:val="24"/>
                <w:highlight w:val="none"/>
              </w:rPr>
              <w:t>价</w:t>
            </w:r>
          </w:p>
        </w:tc>
        <w:tc>
          <w:tcPr>
            <w:tcW w:w="1347" w:type="dxa"/>
            <w:vAlign w:val="center"/>
          </w:tcPr>
          <w:p w14:paraId="13507CFA">
            <w:pPr>
              <w:keepNext w:val="0"/>
              <w:keepLines w:val="0"/>
              <w:pageBreakBefore w:val="0"/>
              <w:kinsoku/>
              <w:wordWrap/>
              <w:overflowPunct/>
              <w:topLinePunct w:val="0"/>
              <w:autoSpaceDE/>
              <w:autoSpaceDN/>
              <w:bidi w:val="0"/>
              <w:snapToGrid/>
              <w:spacing w:line="440" w:lineRule="exact"/>
              <w:jc w:val="center"/>
              <w:textAlignment w:val="auto"/>
              <w:rPr>
                <w:rFonts w:ascii="宋体" w:hAnsi="宋体"/>
                <w:bCs/>
                <w:color w:val="auto"/>
                <w:sz w:val="24"/>
                <w:highlight w:val="none"/>
              </w:rPr>
            </w:pPr>
            <w:r>
              <w:rPr>
                <w:rFonts w:hint="eastAsia" w:ascii="Times New Roman" w:hAnsi="Times New Roman" w:eastAsia="宋体" w:cs="宋体"/>
                <w:b w:val="0"/>
                <w:bCs w:val="0"/>
                <w:caps w:val="0"/>
                <w:smallCaps w:val="0"/>
                <w:color w:val="auto"/>
                <w:kern w:val="2"/>
                <w:sz w:val="24"/>
                <w:szCs w:val="24"/>
                <w:highlight w:val="none"/>
                <w:lang w:val="en-US" w:eastAsia="zh-CN" w:bidi="ar-SA"/>
              </w:rPr>
              <w:t>投标报价</w:t>
            </w:r>
            <w:r>
              <w:rPr>
                <w:rFonts w:hint="eastAsia" w:ascii="宋体" w:hAnsi="宋体" w:eastAsia="宋体" w:cs="宋体"/>
                <w:b w:val="0"/>
                <w:bCs w:val="0"/>
                <w:caps w:val="0"/>
                <w:smallCaps w:val="0"/>
                <w:color w:val="auto"/>
                <w:kern w:val="2"/>
                <w:sz w:val="24"/>
                <w:szCs w:val="24"/>
                <w:highlight w:val="none"/>
                <w:lang w:val="en-US" w:eastAsia="zh-CN" w:bidi="ar-SA"/>
              </w:rPr>
              <w:t>(20分)</w:t>
            </w:r>
          </w:p>
        </w:tc>
        <w:tc>
          <w:tcPr>
            <w:tcW w:w="6707" w:type="dxa"/>
            <w:vAlign w:val="center"/>
          </w:tcPr>
          <w:p w14:paraId="3B07CDE4">
            <w:pPr>
              <w:spacing w:line="360" w:lineRule="auto"/>
              <w:rPr>
                <w:rFonts w:hint="eastAsia" w:ascii="宋体" w:hAnsi="宋体"/>
                <w:color w:val="auto"/>
                <w:spacing w:val="6"/>
                <w:sz w:val="24"/>
                <w:szCs w:val="24"/>
                <w:highlight w:val="none"/>
              </w:rPr>
            </w:pPr>
            <w:r>
              <w:rPr>
                <w:rFonts w:hint="eastAsia" w:ascii="宋体" w:hAnsi="宋体" w:cs="宋体"/>
                <w:b/>
                <w:bCs/>
                <w:color w:val="auto"/>
                <w:sz w:val="24"/>
                <w:szCs w:val="24"/>
                <w:highlight w:val="none"/>
              </w:rPr>
              <w:t>本项目按下浮率“下浮</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%”进行报价。</w:t>
            </w:r>
          </w:p>
          <w:p w14:paraId="0223F228">
            <w:pPr>
              <w:spacing w:line="360" w:lineRule="auto"/>
              <w:rPr>
                <w:rFonts w:hint="eastAsia" w:ascii="Times New Roman" w:hAnsi="Times New Roman" w:eastAsia="宋体" w:cs="宋体"/>
                <w:caps w:val="0"/>
                <w:smallCaps w:val="0"/>
                <w:color w:val="auto"/>
                <w:spacing w:val="6"/>
                <w:sz w:val="24"/>
                <w:szCs w:val="24"/>
                <w:highlight w:val="none"/>
              </w:rPr>
            </w:pPr>
            <w:r>
              <w:rPr>
                <w:rFonts w:hint="eastAsia" w:ascii="宋体" w:hAnsi="宋体"/>
                <w:color w:val="auto"/>
                <w:spacing w:val="6"/>
                <w:sz w:val="24"/>
                <w:szCs w:val="24"/>
                <w:highlight w:val="none"/>
                <w:lang w:val="en-US" w:eastAsia="zh-CN"/>
              </w:rPr>
              <w:t>投标</w:t>
            </w:r>
            <w:r>
              <w:rPr>
                <w:rFonts w:hint="eastAsia" w:ascii="宋体" w:hAnsi="宋体"/>
                <w:color w:val="auto"/>
                <w:spacing w:val="6"/>
                <w:sz w:val="24"/>
                <w:szCs w:val="24"/>
                <w:highlight w:val="none"/>
              </w:rPr>
              <w:t>报价=</w:t>
            </w:r>
            <w:r>
              <w:rPr>
                <w:rFonts w:hint="eastAsia" w:ascii="宋体" w:hAnsi="宋体" w:cs="宋体"/>
                <w:color w:val="auto"/>
                <w:sz w:val="24"/>
                <w:szCs w:val="24"/>
                <w:highlight w:val="none"/>
              </w:rPr>
              <w:t>(1-|下浮率|)</w:t>
            </w:r>
          </w:p>
          <w:p w14:paraId="3A06C633">
            <w:pPr>
              <w:keepNext w:val="0"/>
              <w:keepLines w:val="0"/>
              <w:pageBreakBefore w:val="0"/>
              <w:widowControl/>
              <w:kinsoku/>
              <w:wordWrap/>
              <w:overflowPunct/>
              <w:topLinePunct w:val="0"/>
              <w:bidi w:val="0"/>
              <w:adjustRightInd w:val="0"/>
              <w:snapToGrid w:val="0"/>
              <w:spacing w:line="440" w:lineRule="exact"/>
              <w:textAlignment w:val="auto"/>
              <w:rPr>
                <w:rFonts w:hint="eastAsia" w:ascii="Times New Roman" w:hAnsi="Times New Roman" w:eastAsia="宋体" w:cs="宋体"/>
                <w:caps w:val="0"/>
                <w:smallCaps w:val="0"/>
                <w:color w:val="auto"/>
                <w:spacing w:val="6"/>
                <w:sz w:val="24"/>
                <w:szCs w:val="24"/>
                <w:highlight w:val="none"/>
              </w:rPr>
            </w:pPr>
            <w:r>
              <w:rPr>
                <w:rFonts w:hint="eastAsia" w:ascii="Times New Roman" w:hAnsi="Times New Roman" w:eastAsia="宋体" w:cs="宋体"/>
                <w:caps w:val="0"/>
                <w:smallCaps w:val="0"/>
                <w:color w:val="auto"/>
                <w:spacing w:val="6"/>
                <w:sz w:val="24"/>
                <w:szCs w:val="24"/>
                <w:highlight w:val="none"/>
              </w:rPr>
              <w:t>根据各投标人投标报价按照以下规则进行打分。</w:t>
            </w:r>
          </w:p>
          <w:p w14:paraId="1AF7BC76">
            <w:pPr>
              <w:keepNext w:val="0"/>
              <w:keepLines w:val="0"/>
              <w:pageBreakBefore w:val="0"/>
              <w:widowControl/>
              <w:kinsoku/>
              <w:wordWrap/>
              <w:overflowPunct/>
              <w:topLinePunct w:val="0"/>
              <w:bidi w:val="0"/>
              <w:adjustRightInd w:val="0"/>
              <w:snapToGrid w:val="0"/>
              <w:spacing w:line="440" w:lineRule="exact"/>
              <w:textAlignment w:val="auto"/>
              <w:rPr>
                <w:rFonts w:hint="eastAsia" w:ascii="Times New Roman" w:hAnsi="Times New Roman" w:eastAsia="宋体" w:cs="宋体"/>
                <w:b/>
                <w:bCs/>
                <w:caps w:val="0"/>
                <w:smallCaps w:val="0"/>
                <w:color w:val="auto"/>
                <w:sz w:val="24"/>
                <w:szCs w:val="24"/>
                <w:highlight w:val="none"/>
              </w:rPr>
            </w:pPr>
            <w:r>
              <w:rPr>
                <w:rFonts w:hint="eastAsia" w:ascii="Times New Roman" w:hAnsi="Times New Roman" w:eastAsia="宋体" w:cs="宋体"/>
                <w:b/>
                <w:bCs/>
                <w:caps w:val="0"/>
                <w:smallCaps w:val="0"/>
                <w:color w:val="auto"/>
                <w:sz w:val="24"/>
                <w:szCs w:val="24"/>
                <w:highlight w:val="none"/>
                <w:lang w:eastAsia="zh-CN"/>
              </w:rPr>
              <w:t>(1)</w:t>
            </w:r>
            <w:r>
              <w:rPr>
                <w:rFonts w:hint="eastAsia" w:ascii="Times New Roman" w:hAnsi="Times New Roman" w:eastAsia="宋体" w:cs="宋体"/>
                <w:b/>
                <w:bCs/>
                <w:caps w:val="0"/>
                <w:smallCaps w:val="0"/>
                <w:color w:val="auto"/>
                <w:sz w:val="24"/>
                <w:szCs w:val="24"/>
                <w:highlight w:val="none"/>
              </w:rPr>
              <w:t>算术修正报价</w:t>
            </w:r>
          </w:p>
          <w:p w14:paraId="1AE62BD4">
            <w:pPr>
              <w:keepNext w:val="0"/>
              <w:keepLines w:val="0"/>
              <w:pageBreakBefore w:val="0"/>
              <w:widowControl/>
              <w:kinsoku/>
              <w:wordWrap/>
              <w:overflowPunct/>
              <w:topLinePunct w:val="0"/>
              <w:bidi w:val="0"/>
              <w:adjustRightInd w:val="0"/>
              <w:snapToGrid w:val="0"/>
              <w:spacing w:line="440" w:lineRule="exact"/>
              <w:textAlignment w:val="auto"/>
              <w:rPr>
                <w:rFonts w:hint="eastAsia" w:ascii="Times New Roman" w:hAnsi="Times New Roman" w:eastAsia="宋体" w:cs="宋体"/>
                <w:caps w:val="0"/>
                <w:smallCaps w:val="0"/>
                <w:color w:val="auto"/>
                <w:sz w:val="24"/>
                <w:szCs w:val="24"/>
                <w:highlight w:val="none"/>
              </w:rPr>
            </w:pPr>
            <w:r>
              <w:rPr>
                <w:rFonts w:hint="eastAsia" w:ascii="Times New Roman" w:hAnsi="Times New Roman" w:eastAsia="宋体" w:cs="宋体"/>
                <w:caps w:val="0"/>
                <w:smallCaps w:val="0"/>
                <w:color w:val="auto"/>
                <w:sz w:val="24"/>
                <w:szCs w:val="24"/>
                <w:highlight w:val="none"/>
              </w:rPr>
              <w:t>若存在算术修正，应按修正后的投标报价进行评标基准价和投标报价得分计算</w:t>
            </w:r>
          </w:p>
          <w:p w14:paraId="2572CD5B">
            <w:pPr>
              <w:keepNext w:val="0"/>
              <w:keepLines w:val="0"/>
              <w:pageBreakBefore w:val="0"/>
              <w:widowControl/>
              <w:kinsoku/>
              <w:wordWrap/>
              <w:overflowPunct/>
              <w:topLinePunct w:val="0"/>
              <w:bidi w:val="0"/>
              <w:adjustRightInd w:val="0"/>
              <w:snapToGrid w:val="0"/>
              <w:spacing w:line="440" w:lineRule="exact"/>
              <w:textAlignment w:val="auto"/>
              <w:rPr>
                <w:rFonts w:hint="eastAsia" w:ascii="Times New Roman" w:hAnsi="Times New Roman" w:eastAsia="宋体" w:cs="宋体"/>
                <w:b/>
                <w:bCs/>
                <w:caps w:val="0"/>
                <w:smallCaps w:val="0"/>
                <w:color w:val="auto"/>
                <w:spacing w:val="6"/>
                <w:sz w:val="24"/>
                <w:szCs w:val="24"/>
                <w:highlight w:val="none"/>
              </w:rPr>
            </w:pPr>
            <w:r>
              <w:rPr>
                <w:rFonts w:hint="eastAsia" w:ascii="Times New Roman" w:hAnsi="Times New Roman" w:eastAsia="宋体" w:cs="宋体"/>
                <w:b/>
                <w:bCs/>
                <w:caps w:val="0"/>
                <w:smallCaps w:val="0"/>
                <w:color w:val="auto"/>
                <w:spacing w:val="6"/>
                <w:sz w:val="24"/>
                <w:szCs w:val="24"/>
                <w:highlight w:val="none"/>
                <w:lang w:eastAsia="zh-CN"/>
              </w:rPr>
              <w:t>(2)</w:t>
            </w:r>
            <w:r>
              <w:rPr>
                <w:rFonts w:hint="eastAsia" w:ascii="Times New Roman" w:hAnsi="Times New Roman" w:eastAsia="宋体" w:cs="宋体"/>
                <w:b/>
                <w:bCs/>
                <w:caps w:val="0"/>
                <w:smallCaps w:val="0"/>
                <w:color w:val="auto"/>
                <w:spacing w:val="6"/>
                <w:sz w:val="24"/>
                <w:szCs w:val="24"/>
                <w:highlight w:val="none"/>
              </w:rPr>
              <w:t>政策优惠报价--小微企业或</w:t>
            </w:r>
            <w:r>
              <w:rPr>
                <w:rFonts w:hint="eastAsia" w:ascii="Times New Roman" w:hAnsi="Times New Roman" w:eastAsia="宋体" w:cs="宋体"/>
                <w:b/>
                <w:bCs/>
                <w:caps w:val="0"/>
                <w:smallCaps w:val="0"/>
                <w:color w:val="auto"/>
                <w:sz w:val="24"/>
                <w:szCs w:val="24"/>
                <w:highlight w:val="none"/>
              </w:rPr>
              <w:t>监狱企业或残疾人福利性单位</w:t>
            </w:r>
            <w:r>
              <w:rPr>
                <w:rFonts w:hint="eastAsia" w:ascii="Times New Roman" w:hAnsi="Times New Roman" w:eastAsia="宋体" w:cs="宋体"/>
                <w:b/>
                <w:bCs/>
                <w:caps w:val="0"/>
                <w:smallCaps w:val="0"/>
                <w:color w:val="auto"/>
                <w:spacing w:val="6"/>
                <w:sz w:val="24"/>
                <w:szCs w:val="24"/>
                <w:highlight w:val="none"/>
              </w:rPr>
              <w:t>政策</w:t>
            </w:r>
          </w:p>
          <w:p w14:paraId="169371FF">
            <w:pPr>
              <w:keepNext w:val="0"/>
              <w:keepLines w:val="0"/>
              <w:pageBreakBefore w:val="0"/>
              <w:widowControl/>
              <w:kinsoku/>
              <w:wordWrap/>
              <w:overflowPunct/>
              <w:topLinePunct w:val="0"/>
              <w:bidi w:val="0"/>
              <w:spacing w:line="440" w:lineRule="exact"/>
              <w:textAlignment w:val="auto"/>
              <w:rPr>
                <w:rFonts w:hint="eastAsia" w:ascii="Times New Roman" w:hAnsi="Times New Roman" w:eastAsia="宋体" w:cs="宋体"/>
                <w:caps w:val="0"/>
                <w:smallCaps w:val="0"/>
                <w:color w:val="auto"/>
                <w:sz w:val="24"/>
                <w:szCs w:val="24"/>
                <w:highlight w:val="none"/>
              </w:rPr>
            </w:pPr>
            <w:r>
              <w:rPr>
                <w:rFonts w:hint="eastAsia" w:ascii="Times New Roman" w:hAnsi="Times New Roman" w:eastAsia="宋体" w:cs="宋体"/>
                <w:caps w:val="0"/>
                <w:smallCaps w:val="0"/>
                <w:color w:val="auto"/>
                <w:sz w:val="24"/>
                <w:szCs w:val="24"/>
                <w:highlight w:val="none"/>
              </w:rPr>
              <w:t>若存在符合条件的小微企业或监狱企业或残疾人福利性单位给予的报价优惠的情形，用扣除后的投标报价进行评标基准价和投标报价得分计算。</w:t>
            </w:r>
            <w:r>
              <w:rPr>
                <w:rFonts w:hint="eastAsia" w:ascii="Times New Roman" w:hAnsi="Times New Roman" w:eastAsia="宋体" w:cs="宋体"/>
                <w:b/>
                <w:bCs/>
                <w:caps w:val="0"/>
                <w:smallCaps w:val="0"/>
                <w:color w:val="auto"/>
                <w:sz w:val="24"/>
                <w:szCs w:val="24"/>
                <w:highlight w:val="none"/>
              </w:rPr>
              <w:t>对于同时属于小微企业、监狱企业或残疾人福利性单位的，不重复进行投标报价扣除。</w:t>
            </w:r>
            <w:r>
              <w:rPr>
                <w:rFonts w:hint="eastAsia" w:ascii="Times New Roman" w:hAnsi="Times New Roman" w:eastAsia="宋体" w:cs="宋体"/>
                <w:caps w:val="0"/>
                <w:smallCaps w:val="0"/>
                <w:color w:val="auto"/>
                <w:sz w:val="24"/>
                <w:szCs w:val="24"/>
                <w:highlight w:val="none"/>
              </w:rPr>
              <w:t>若同时存在算术修正，应在算术修正后的报价基础上进行优惠报价的扣除。</w:t>
            </w:r>
          </w:p>
          <w:p w14:paraId="70D360F3">
            <w:pPr>
              <w:keepNext w:val="0"/>
              <w:keepLines w:val="0"/>
              <w:pageBreakBefore w:val="0"/>
              <w:widowControl/>
              <w:kinsoku/>
              <w:wordWrap/>
              <w:overflowPunct/>
              <w:topLinePunct w:val="0"/>
              <w:autoSpaceDE w:val="0"/>
              <w:autoSpaceDN w:val="0"/>
              <w:bidi w:val="0"/>
              <w:spacing w:line="440" w:lineRule="exact"/>
              <w:textAlignment w:val="auto"/>
              <w:rPr>
                <w:rFonts w:hint="eastAsia" w:ascii="Times New Roman" w:hAnsi="Times New Roman" w:eastAsia="宋体" w:cs="宋体"/>
                <w:caps w:val="0"/>
                <w:smallCaps w:val="0"/>
                <w:color w:val="auto"/>
                <w:sz w:val="24"/>
                <w:szCs w:val="24"/>
                <w:highlight w:val="none"/>
              </w:rPr>
            </w:pPr>
            <w:r>
              <w:rPr>
                <w:rFonts w:hint="eastAsia" w:ascii="Times New Roman" w:hAnsi="Times New Roman" w:eastAsia="宋体" w:cs="宋体"/>
                <w:b/>
                <w:bCs/>
                <w:caps w:val="0"/>
                <w:smallCaps w:val="0"/>
                <w:color w:val="auto"/>
                <w:spacing w:val="6"/>
                <w:sz w:val="24"/>
                <w:szCs w:val="24"/>
                <w:highlight w:val="none"/>
                <w:lang w:eastAsia="zh-CN"/>
              </w:rPr>
              <w:t>(3)</w:t>
            </w:r>
            <w:r>
              <w:rPr>
                <w:rFonts w:hint="eastAsia" w:ascii="Times New Roman" w:hAnsi="Times New Roman" w:eastAsia="宋体" w:cs="宋体"/>
                <w:b/>
                <w:bCs/>
                <w:caps w:val="0"/>
                <w:smallCaps w:val="0"/>
                <w:color w:val="auto"/>
                <w:spacing w:val="6"/>
                <w:sz w:val="24"/>
                <w:szCs w:val="24"/>
                <w:highlight w:val="none"/>
              </w:rPr>
              <w:t>评标基准价</w:t>
            </w:r>
            <w:r>
              <w:rPr>
                <w:rFonts w:hint="eastAsia" w:ascii="Times New Roman" w:hAnsi="Times New Roman" w:eastAsia="宋体" w:cs="宋体"/>
                <w:caps w:val="0"/>
                <w:smallCaps w:val="0"/>
                <w:color w:val="auto"/>
                <w:sz w:val="24"/>
                <w:szCs w:val="24"/>
                <w:highlight w:val="none"/>
              </w:rPr>
              <w:t>＝满足招标文件要求且投标价格最低</w:t>
            </w:r>
            <w:r>
              <w:rPr>
                <w:rFonts w:hint="eastAsia" w:eastAsia="宋体" w:cs="宋体"/>
                <w:caps w:val="0"/>
                <w:smallCaps w:val="0"/>
                <w:color w:val="auto"/>
                <w:sz w:val="24"/>
                <w:szCs w:val="24"/>
                <w:highlight w:val="none"/>
                <w:lang w:eastAsia="zh-CN"/>
              </w:rPr>
              <w:t>（</w:t>
            </w:r>
            <w:r>
              <w:rPr>
                <w:rFonts w:hint="eastAsia" w:eastAsia="宋体" w:cs="宋体"/>
                <w:caps w:val="0"/>
                <w:smallCaps w:val="0"/>
                <w:color w:val="auto"/>
                <w:sz w:val="24"/>
                <w:szCs w:val="24"/>
                <w:highlight w:val="none"/>
                <w:lang w:val="en-US" w:eastAsia="zh-CN"/>
              </w:rPr>
              <w:t>即：下浮率最高</w:t>
            </w:r>
            <w:r>
              <w:rPr>
                <w:rFonts w:hint="eastAsia" w:eastAsia="宋体" w:cs="宋体"/>
                <w:caps w:val="0"/>
                <w:smallCaps w:val="0"/>
                <w:color w:val="auto"/>
                <w:sz w:val="24"/>
                <w:szCs w:val="24"/>
                <w:highlight w:val="none"/>
                <w:lang w:eastAsia="zh-CN"/>
              </w:rPr>
              <w:t>）</w:t>
            </w:r>
            <w:r>
              <w:rPr>
                <w:rFonts w:hint="eastAsia" w:ascii="Times New Roman" w:hAnsi="Times New Roman" w:eastAsia="宋体" w:cs="宋体"/>
                <w:caps w:val="0"/>
                <w:smallCaps w:val="0"/>
                <w:color w:val="auto"/>
                <w:sz w:val="24"/>
                <w:szCs w:val="24"/>
                <w:highlight w:val="none"/>
              </w:rPr>
              <w:t>的投标报价为评标基准价；</w:t>
            </w:r>
          </w:p>
          <w:p w14:paraId="38CBCFEE">
            <w:pPr>
              <w:keepNext w:val="0"/>
              <w:keepLines w:val="0"/>
              <w:pageBreakBefore w:val="0"/>
              <w:widowControl/>
              <w:kinsoku/>
              <w:wordWrap/>
              <w:overflowPunct/>
              <w:topLinePunct w:val="0"/>
              <w:bidi w:val="0"/>
              <w:adjustRightInd w:val="0"/>
              <w:snapToGrid w:val="0"/>
              <w:spacing w:line="440" w:lineRule="exact"/>
              <w:textAlignment w:val="auto"/>
              <w:rPr>
                <w:rFonts w:hint="eastAsia" w:ascii="Times New Roman" w:hAnsi="Times New Roman" w:eastAsia="宋体" w:cs="宋体"/>
                <w:caps w:val="0"/>
                <w:smallCaps w:val="0"/>
                <w:color w:val="auto"/>
                <w:sz w:val="24"/>
                <w:szCs w:val="24"/>
                <w:highlight w:val="none"/>
              </w:rPr>
            </w:pPr>
            <w:r>
              <w:rPr>
                <w:rFonts w:hint="eastAsia" w:ascii="Times New Roman" w:hAnsi="Times New Roman" w:eastAsia="宋体" w:cs="宋体"/>
                <w:b/>
                <w:bCs/>
                <w:caps w:val="0"/>
                <w:smallCaps w:val="0"/>
                <w:color w:val="auto"/>
                <w:spacing w:val="6"/>
                <w:sz w:val="24"/>
                <w:szCs w:val="24"/>
                <w:highlight w:val="none"/>
                <w:lang w:eastAsia="zh-CN"/>
              </w:rPr>
              <w:t>(4)</w:t>
            </w:r>
            <w:r>
              <w:rPr>
                <w:rFonts w:hint="eastAsia" w:ascii="Times New Roman" w:hAnsi="Times New Roman" w:eastAsia="宋体" w:cs="宋体"/>
                <w:b/>
                <w:bCs/>
                <w:caps w:val="0"/>
                <w:smallCaps w:val="0"/>
                <w:color w:val="auto"/>
                <w:spacing w:val="6"/>
                <w:sz w:val="24"/>
                <w:szCs w:val="24"/>
                <w:highlight w:val="none"/>
              </w:rPr>
              <w:t>得分计算</w:t>
            </w:r>
            <w:r>
              <w:rPr>
                <w:rFonts w:hint="eastAsia" w:ascii="Times New Roman" w:hAnsi="Times New Roman" w:eastAsia="宋体" w:cs="宋体"/>
                <w:caps w:val="0"/>
                <w:smallCaps w:val="0"/>
                <w:color w:val="auto"/>
                <w:spacing w:val="6"/>
                <w:sz w:val="24"/>
                <w:szCs w:val="24"/>
                <w:highlight w:val="none"/>
              </w:rPr>
              <w:t>：</w:t>
            </w:r>
            <w:r>
              <w:rPr>
                <w:rFonts w:hint="eastAsia" w:ascii="Times New Roman" w:hAnsi="Times New Roman" w:eastAsia="宋体" w:cs="宋体"/>
                <w:caps w:val="0"/>
                <w:smallCaps w:val="0"/>
                <w:color w:val="auto"/>
                <w:sz w:val="24"/>
                <w:szCs w:val="24"/>
                <w:highlight w:val="none"/>
              </w:rPr>
              <w:t>满足招标文件要求且投标价格最低的投标报价，其价格分为满分。其他投标人的价格分统一按照下列公式计算：</w:t>
            </w:r>
          </w:p>
          <w:p w14:paraId="28FECCC9">
            <w:pPr>
              <w:keepNext w:val="0"/>
              <w:keepLines w:val="0"/>
              <w:pageBreakBefore w:val="0"/>
              <w:widowControl/>
              <w:kinsoku/>
              <w:wordWrap/>
              <w:overflowPunct/>
              <w:topLinePunct w:val="0"/>
              <w:autoSpaceDE w:val="0"/>
              <w:autoSpaceDN w:val="0"/>
              <w:bidi w:val="0"/>
              <w:adjustRightInd/>
              <w:snapToGrid/>
              <w:spacing w:line="440" w:lineRule="exact"/>
              <w:textAlignment w:val="auto"/>
              <w:rPr>
                <w:rFonts w:hint="default" w:ascii="宋体" w:hAnsi="宋体" w:eastAsia="宋体" w:cs="宋体"/>
                <w:b/>
                <w:bCs/>
                <w:color w:val="auto"/>
                <w:sz w:val="24"/>
                <w:szCs w:val="24"/>
                <w:highlight w:val="none"/>
                <w:lang w:val="en-US" w:eastAsia="zh-CN"/>
              </w:rPr>
            </w:pPr>
            <w:r>
              <w:rPr>
                <w:rFonts w:hint="eastAsia" w:ascii="Times New Roman" w:hAnsi="Times New Roman" w:eastAsia="宋体" w:cs="宋体"/>
                <w:b/>
                <w:bCs/>
                <w:caps w:val="0"/>
                <w:smallCaps w:val="0"/>
                <w:color w:val="auto"/>
                <w:sz w:val="24"/>
                <w:szCs w:val="24"/>
                <w:highlight w:val="none"/>
              </w:rPr>
              <w:t>投标报价得分</w:t>
            </w:r>
            <w:r>
              <w:rPr>
                <w:rFonts w:hint="eastAsia" w:ascii="Times New Roman" w:hAnsi="Times New Roman" w:eastAsia="宋体" w:cs="宋体"/>
                <w:caps w:val="0"/>
                <w:smallCaps w:val="0"/>
                <w:color w:val="auto"/>
                <w:sz w:val="24"/>
                <w:szCs w:val="24"/>
                <w:highlight w:val="none"/>
              </w:rPr>
              <w:t>＝</w:t>
            </w:r>
            <w:r>
              <w:rPr>
                <w:rFonts w:hint="eastAsia" w:ascii="宋体" w:hAnsi="宋体" w:eastAsia="宋体" w:cs="宋体"/>
                <w:b/>
                <w:bCs/>
                <w:caps w:val="0"/>
                <w:smallCaps w:val="0"/>
                <w:color w:val="auto"/>
                <w:sz w:val="24"/>
                <w:szCs w:val="24"/>
                <w:highlight w:val="none"/>
              </w:rPr>
              <w:t>(评标基准价/投标报价)×</w:t>
            </w:r>
            <w:r>
              <w:rPr>
                <w:rFonts w:hint="eastAsia" w:ascii="宋体" w:hAnsi="宋体" w:eastAsia="宋体" w:cs="宋体"/>
                <w:b/>
                <w:bCs/>
                <w:caps w:val="0"/>
                <w:smallCaps w:val="0"/>
                <w:color w:val="auto"/>
                <w:sz w:val="24"/>
                <w:szCs w:val="24"/>
                <w:highlight w:val="none"/>
                <w:lang w:val="en-US" w:eastAsia="zh-CN"/>
              </w:rPr>
              <w:t>20</w:t>
            </w:r>
          </w:p>
        </w:tc>
      </w:tr>
      <w:tr w14:paraId="6479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2" w:type="dxa"/>
            <w:vMerge w:val="restart"/>
            <w:vAlign w:val="center"/>
          </w:tcPr>
          <w:p w14:paraId="50079D9D">
            <w:pPr>
              <w:keepNext w:val="0"/>
              <w:keepLines w:val="0"/>
              <w:pageBreakBefore w:val="0"/>
              <w:kinsoku/>
              <w:wordWrap/>
              <w:overflowPunct/>
              <w:topLinePunct w:val="0"/>
              <w:bidi w:val="0"/>
              <w:spacing w:line="500" w:lineRule="exact"/>
              <w:jc w:val="center"/>
              <w:textAlignment w:val="auto"/>
              <w:rPr>
                <w:rFonts w:hint="eastAsia" w:ascii="宋体" w:hAnsi="宋体"/>
                <w:bCs/>
                <w:color w:val="auto"/>
                <w:sz w:val="24"/>
                <w:szCs w:val="24"/>
                <w:highlight w:val="none"/>
              </w:rPr>
            </w:pPr>
            <w:r>
              <w:rPr>
                <w:rFonts w:ascii="宋体" w:hAnsi="宋体"/>
                <w:bCs/>
                <w:color w:val="auto"/>
                <w:sz w:val="24"/>
                <w:szCs w:val="24"/>
                <w:highlight w:val="none"/>
              </w:rPr>
              <w:t>技</w:t>
            </w:r>
            <w:r>
              <w:rPr>
                <w:rFonts w:hint="eastAsia" w:ascii="宋体" w:hAnsi="宋体" w:cs="宋体"/>
                <w:bCs/>
                <w:color w:val="auto"/>
                <w:sz w:val="24"/>
                <w:szCs w:val="24"/>
                <w:highlight w:val="none"/>
              </w:rPr>
              <w:t>术</w:t>
            </w:r>
            <w:r>
              <w:rPr>
                <w:rFonts w:hint="eastAsia" w:ascii="宋体" w:hAnsi="宋体" w:cs="Malgun Gothic"/>
                <w:bCs/>
                <w:color w:val="auto"/>
                <w:sz w:val="24"/>
                <w:szCs w:val="24"/>
                <w:highlight w:val="none"/>
              </w:rPr>
              <w:t>部分</w:t>
            </w:r>
            <w:r>
              <w:rPr>
                <w:rFonts w:hint="eastAsia" w:ascii="宋体" w:hAnsi="宋体" w:cs="宋体"/>
                <w:bCs/>
                <w:color w:val="auto"/>
                <w:sz w:val="24"/>
                <w:highlight w:val="none"/>
              </w:rPr>
              <w:t>评审</w:t>
            </w:r>
          </w:p>
        </w:tc>
        <w:tc>
          <w:tcPr>
            <w:tcW w:w="1234" w:type="dxa"/>
            <w:vAlign w:val="center"/>
          </w:tcPr>
          <w:p w14:paraId="24E18669">
            <w:pPr>
              <w:keepNext w:val="0"/>
              <w:keepLines w:val="0"/>
              <w:pageBreakBefore w:val="0"/>
              <w:kinsoku/>
              <w:wordWrap/>
              <w:overflowPunct/>
              <w:topLinePunct w:val="0"/>
              <w:bidi w:val="0"/>
              <w:spacing w:line="500" w:lineRule="exact"/>
              <w:jc w:val="center"/>
              <w:textAlignment w:val="auto"/>
              <w:rPr>
                <w:rFonts w:ascii="宋体" w:hAnsi="宋体" w:cs="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配送</w:t>
            </w:r>
            <w:r>
              <w:rPr>
                <w:rFonts w:hint="eastAsia" w:ascii="宋体" w:hAnsi="宋体"/>
                <w:color w:val="auto"/>
                <w:sz w:val="24"/>
                <w:szCs w:val="24"/>
                <w:highlight w:val="none"/>
              </w:rPr>
              <w:t>服务方案</w:t>
            </w:r>
          </w:p>
        </w:tc>
        <w:tc>
          <w:tcPr>
            <w:tcW w:w="1347" w:type="dxa"/>
            <w:vAlign w:val="center"/>
          </w:tcPr>
          <w:p w14:paraId="093F4245">
            <w:pPr>
              <w:keepNext w:val="0"/>
              <w:keepLines w:val="0"/>
              <w:pageBreakBefore w:val="0"/>
              <w:kinsoku/>
              <w:wordWrap/>
              <w:overflowPunct/>
              <w:topLinePunct w:val="0"/>
              <w:bidi w:val="0"/>
              <w:spacing w:line="500" w:lineRule="exact"/>
              <w:jc w:val="center"/>
              <w:textAlignment w:val="auto"/>
              <w:rPr>
                <w:rFonts w:ascii="宋体" w:hAnsi="宋体"/>
                <w:color w:val="auto"/>
                <w:sz w:val="24"/>
                <w:szCs w:val="24"/>
                <w:highlight w:val="none"/>
              </w:rPr>
            </w:pPr>
            <w:r>
              <w:rPr>
                <w:rFonts w:hint="eastAsia" w:ascii="宋体" w:hAnsi="宋体"/>
                <w:color w:val="auto"/>
                <w:sz w:val="24"/>
                <w:szCs w:val="24"/>
                <w:highlight w:val="none"/>
                <w:lang w:val="en-US" w:eastAsia="zh-CN"/>
              </w:rPr>
              <w:t>15</w:t>
            </w:r>
            <w:r>
              <w:rPr>
                <w:rFonts w:hint="eastAsia" w:ascii="宋体" w:hAnsi="宋体"/>
                <w:color w:val="auto"/>
                <w:sz w:val="24"/>
                <w:szCs w:val="24"/>
                <w:highlight w:val="none"/>
              </w:rPr>
              <w:t>分</w:t>
            </w:r>
          </w:p>
        </w:tc>
        <w:tc>
          <w:tcPr>
            <w:tcW w:w="6707" w:type="dxa"/>
            <w:vAlign w:val="center"/>
          </w:tcPr>
          <w:p w14:paraId="7F6A607F">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根据</w:t>
            </w:r>
            <w:r>
              <w:rPr>
                <w:rFonts w:hint="eastAsia"/>
                <w:b w:val="0"/>
                <w:bCs w:val="0"/>
                <w:color w:val="auto"/>
                <w:highlight w:val="none"/>
                <w:lang w:val="en-US" w:eastAsia="zh-CN"/>
              </w:rPr>
              <w:t>投标人</w:t>
            </w:r>
            <w:r>
              <w:rPr>
                <w:rFonts w:hint="eastAsia"/>
                <w:b w:val="0"/>
                <w:bCs w:val="0"/>
                <w:color w:val="auto"/>
                <w:highlight w:val="none"/>
              </w:rPr>
              <w:t>提供的配送服务方案包括但不限于：①项目特点分析、②配送流程计划、③配送应急预案、④配送保障措施、⑤包装、运输方案5项内容，每项内容</w:t>
            </w:r>
            <w:r>
              <w:rPr>
                <w:rFonts w:hint="eastAsia"/>
                <w:b w:val="0"/>
                <w:bCs w:val="0"/>
                <w:color w:val="auto"/>
                <w:highlight w:val="none"/>
                <w:lang w:val="en-US" w:eastAsia="zh-CN"/>
              </w:rPr>
              <w:t>3</w:t>
            </w:r>
            <w:r>
              <w:rPr>
                <w:rFonts w:hint="eastAsia"/>
                <w:b w:val="0"/>
                <w:bCs w:val="0"/>
                <w:color w:val="auto"/>
                <w:highlight w:val="none"/>
              </w:rPr>
              <w:t>分，满分</w:t>
            </w:r>
            <w:r>
              <w:rPr>
                <w:rFonts w:hint="eastAsia"/>
                <w:b w:val="0"/>
                <w:bCs w:val="0"/>
                <w:color w:val="auto"/>
                <w:highlight w:val="none"/>
                <w:lang w:val="en-US" w:eastAsia="zh-CN"/>
              </w:rPr>
              <w:t>15</w:t>
            </w:r>
            <w:r>
              <w:rPr>
                <w:rFonts w:hint="eastAsia"/>
                <w:b w:val="0"/>
                <w:bCs w:val="0"/>
                <w:color w:val="auto"/>
                <w:highlight w:val="none"/>
              </w:rPr>
              <w:t>分。</w:t>
            </w:r>
          </w:p>
          <w:p w14:paraId="7780B6E4">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lang w:val="en-US" w:eastAsia="zh-CN"/>
              </w:rPr>
              <w:t>(1)</w:t>
            </w:r>
            <w:r>
              <w:rPr>
                <w:rFonts w:hint="eastAsia"/>
                <w:b w:val="0"/>
                <w:bCs w:val="0"/>
                <w:color w:val="auto"/>
                <w:highlight w:val="none"/>
              </w:rPr>
              <w:t>每有一项内容详细、具体、科学、合理可行，能保证项目实施的，得</w:t>
            </w:r>
            <w:r>
              <w:rPr>
                <w:rFonts w:hint="eastAsia"/>
                <w:b w:val="0"/>
                <w:bCs w:val="0"/>
                <w:color w:val="auto"/>
                <w:highlight w:val="none"/>
                <w:lang w:val="en-US" w:eastAsia="zh-CN"/>
              </w:rPr>
              <w:t>3</w:t>
            </w:r>
            <w:r>
              <w:rPr>
                <w:rFonts w:hint="eastAsia"/>
                <w:b w:val="0"/>
                <w:bCs w:val="0"/>
                <w:color w:val="auto"/>
                <w:highlight w:val="none"/>
              </w:rPr>
              <w:t>分；</w:t>
            </w:r>
          </w:p>
          <w:p w14:paraId="55F55C31">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lang w:val="en-US" w:eastAsia="zh-CN"/>
              </w:rPr>
              <w:t>(2)</w:t>
            </w:r>
            <w:r>
              <w:rPr>
                <w:rFonts w:hint="eastAsia"/>
                <w:b w:val="0"/>
                <w:bCs w:val="0"/>
                <w:color w:val="auto"/>
                <w:highlight w:val="none"/>
              </w:rPr>
              <w:t>每有一项内容粗略、不具体、没有针对性，不能保证项目实施的，得</w:t>
            </w:r>
            <w:r>
              <w:rPr>
                <w:rFonts w:hint="eastAsia"/>
                <w:b w:val="0"/>
                <w:bCs w:val="0"/>
                <w:color w:val="auto"/>
                <w:highlight w:val="none"/>
                <w:lang w:val="en-US" w:eastAsia="zh-CN"/>
              </w:rPr>
              <w:t>1.5</w:t>
            </w:r>
            <w:r>
              <w:rPr>
                <w:rFonts w:hint="eastAsia"/>
                <w:b w:val="0"/>
                <w:bCs w:val="0"/>
                <w:color w:val="auto"/>
                <w:highlight w:val="none"/>
              </w:rPr>
              <w:t>分；</w:t>
            </w:r>
          </w:p>
          <w:p w14:paraId="33FD853A">
            <w:pPr>
              <w:pStyle w:val="11"/>
              <w:keepNext w:val="0"/>
              <w:keepLines w:val="0"/>
              <w:pageBreakBefore w:val="0"/>
              <w:kinsoku/>
              <w:wordWrap/>
              <w:overflowPunct/>
              <w:topLinePunct w:val="0"/>
              <w:bidi w:val="0"/>
              <w:spacing w:line="500" w:lineRule="exact"/>
              <w:textAlignment w:val="auto"/>
              <w:rPr>
                <w:rFonts w:hint="eastAsia"/>
                <w:color w:val="auto"/>
                <w:highlight w:val="none"/>
              </w:rPr>
            </w:pPr>
            <w:r>
              <w:rPr>
                <w:rFonts w:hint="eastAsia"/>
                <w:b w:val="0"/>
                <w:bCs w:val="0"/>
                <w:color w:val="auto"/>
                <w:highlight w:val="none"/>
                <w:lang w:val="en-US" w:eastAsia="zh-CN"/>
              </w:rPr>
              <w:t>(3)</w:t>
            </w:r>
            <w:r>
              <w:rPr>
                <w:rFonts w:hint="eastAsia" w:ascii="Times New Roman" w:hAnsi="Times New Roman" w:eastAsia="宋体" w:cs="宋体"/>
                <w:b w:val="0"/>
                <w:bCs w:val="0"/>
                <w:caps w:val="0"/>
                <w:smallCaps w:val="0"/>
                <w:color w:val="auto"/>
                <w:kern w:val="2"/>
                <w:sz w:val="24"/>
                <w:szCs w:val="24"/>
                <w:highlight w:val="none"/>
                <w:lang w:val="en-US" w:eastAsia="zh-CN" w:bidi="ar-SA"/>
              </w:rPr>
              <w:t>每有一项内容未进行阐述的，该项不得分</w:t>
            </w:r>
            <w:r>
              <w:rPr>
                <w:rFonts w:hint="eastAsia"/>
                <w:b w:val="0"/>
                <w:bCs w:val="0"/>
                <w:color w:val="auto"/>
                <w:highlight w:val="none"/>
              </w:rPr>
              <w:t>。</w:t>
            </w:r>
          </w:p>
        </w:tc>
      </w:tr>
      <w:tr w14:paraId="501B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2" w:type="dxa"/>
            <w:vMerge w:val="continue"/>
            <w:vAlign w:val="center"/>
          </w:tcPr>
          <w:p w14:paraId="2FCBA3CA">
            <w:pPr>
              <w:keepNext w:val="0"/>
              <w:keepLines w:val="0"/>
              <w:pageBreakBefore w:val="0"/>
              <w:kinsoku/>
              <w:wordWrap/>
              <w:overflowPunct/>
              <w:topLinePunct w:val="0"/>
              <w:bidi w:val="0"/>
              <w:spacing w:line="500" w:lineRule="exact"/>
              <w:jc w:val="center"/>
              <w:textAlignment w:val="auto"/>
              <w:rPr>
                <w:rFonts w:ascii="宋体" w:hAnsi="宋体"/>
                <w:bCs/>
                <w:color w:val="auto"/>
                <w:sz w:val="24"/>
                <w:szCs w:val="24"/>
                <w:highlight w:val="none"/>
              </w:rPr>
            </w:pPr>
          </w:p>
        </w:tc>
        <w:tc>
          <w:tcPr>
            <w:tcW w:w="1234" w:type="dxa"/>
            <w:vAlign w:val="center"/>
          </w:tcPr>
          <w:p w14:paraId="6DB0A5F0">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2.服务质量承诺及保证措施、违约处罚措施</w:t>
            </w:r>
          </w:p>
        </w:tc>
        <w:tc>
          <w:tcPr>
            <w:tcW w:w="1347" w:type="dxa"/>
            <w:vAlign w:val="center"/>
          </w:tcPr>
          <w:p w14:paraId="425C5EA5">
            <w:pPr>
              <w:keepNext w:val="0"/>
              <w:keepLines w:val="0"/>
              <w:pageBreakBefore w:val="0"/>
              <w:kinsoku/>
              <w:wordWrap/>
              <w:overflowPunct/>
              <w:topLinePunct w:val="0"/>
              <w:bidi w:val="0"/>
              <w:spacing w:line="500" w:lineRule="exact"/>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w:t>
            </w:r>
            <w:r>
              <w:rPr>
                <w:rFonts w:hint="eastAsia" w:ascii="宋体" w:hAnsi="宋体"/>
                <w:color w:val="auto"/>
                <w:sz w:val="24"/>
                <w:szCs w:val="24"/>
                <w:highlight w:val="none"/>
              </w:rPr>
              <w:t>分</w:t>
            </w:r>
          </w:p>
        </w:tc>
        <w:tc>
          <w:tcPr>
            <w:tcW w:w="6707" w:type="dxa"/>
            <w:vAlign w:val="center"/>
          </w:tcPr>
          <w:p w14:paraId="6E30FA1B">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根据</w:t>
            </w:r>
            <w:r>
              <w:rPr>
                <w:rFonts w:hint="eastAsia"/>
                <w:b w:val="0"/>
                <w:bCs w:val="0"/>
                <w:color w:val="auto"/>
                <w:highlight w:val="none"/>
                <w:lang w:val="en-US" w:eastAsia="zh-CN"/>
              </w:rPr>
              <w:t>投标人</w:t>
            </w:r>
            <w:r>
              <w:rPr>
                <w:rFonts w:hint="eastAsia"/>
                <w:b w:val="0"/>
                <w:bCs w:val="0"/>
                <w:color w:val="auto"/>
                <w:highlight w:val="none"/>
              </w:rPr>
              <w:t>提供的服务质量承诺及保证措施、违约处罚措施包括但不限于：①服务质量承诺</w:t>
            </w:r>
            <w:r>
              <w:rPr>
                <w:rFonts w:hint="eastAsia"/>
                <w:b w:val="0"/>
                <w:bCs w:val="0"/>
                <w:color w:val="auto"/>
                <w:highlight w:val="none"/>
                <w:lang w:eastAsia="zh-CN"/>
              </w:rPr>
              <w:t>、</w:t>
            </w:r>
            <w:r>
              <w:rPr>
                <w:rFonts w:hint="eastAsia"/>
                <w:b w:val="0"/>
                <w:bCs w:val="0"/>
                <w:color w:val="auto"/>
                <w:highlight w:val="none"/>
                <w:lang w:val="en-US" w:eastAsia="zh-CN"/>
              </w:rPr>
              <w:t>②</w:t>
            </w:r>
            <w:r>
              <w:rPr>
                <w:rFonts w:hint="eastAsia"/>
                <w:b w:val="0"/>
                <w:bCs w:val="0"/>
                <w:color w:val="auto"/>
                <w:highlight w:val="none"/>
              </w:rPr>
              <w:t>保证措施</w:t>
            </w:r>
            <w:r>
              <w:rPr>
                <w:rFonts w:hint="eastAsia"/>
                <w:b w:val="0"/>
                <w:bCs w:val="0"/>
                <w:color w:val="auto"/>
                <w:highlight w:val="none"/>
                <w:lang w:eastAsia="zh-CN"/>
              </w:rPr>
              <w:t>、</w:t>
            </w:r>
            <w:r>
              <w:rPr>
                <w:rFonts w:hint="eastAsia"/>
                <w:b w:val="0"/>
                <w:bCs w:val="0"/>
                <w:color w:val="auto"/>
                <w:highlight w:val="none"/>
                <w:lang w:val="en-US" w:eastAsia="zh-CN"/>
              </w:rPr>
              <w:t>③</w:t>
            </w:r>
            <w:r>
              <w:rPr>
                <w:rFonts w:hint="eastAsia"/>
                <w:b w:val="0"/>
                <w:bCs w:val="0"/>
                <w:color w:val="auto"/>
                <w:highlight w:val="none"/>
              </w:rPr>
              <w:t>违约处罚措施</w:t>
            </w:r>
            <w:r>
              <w:rPr>
                <w:rFonts w:hint="eastAsia"/>
                <w:b w:val="0"/>
                <w:bCs w:val="0"/>
                <w:color w:val="auto"/>
                <w:highlight w:val="none"/>
                <w:lang w:val="en-US" w:eastAsia="zh-CN"/>
              </w:rPr>
              <w:t>3</w:t>
            </w:r>
            <w:r>
              <w:rPr>
                <w:rFonts w:hint="eastAsia"/>
                <w:b w:val="0"/>
                <w:bCs w:val="0"/>
                <w:color w:val="auto"/>
                <w:highlight w:val="none"/>
              </w:rPr>
              <w:t>项内容，每项内容</w:t>
            </w:r>
            <w:r>
              <w:rPr>
                <w:rFonts w:hint="eastAsia"/>
                <w:b w:val="0"/>
                <w:bCs w:val="0"/>
                <w:color w:val="auto"/>
                <w:highlight w:val="none"/>
                <w:lang w:val="en-US" w:eastAsia="zh-CN"/>
              </w:rPr>
              <w:t>3</w:t>
            </w:r>
            <w:r>
              <w:rPr>
                <w:rFonts w:hint="eastAsia"/>
                <w:b w:val="0"/>
                <w:bCs w:val="0"/>
                <w:color w:val="auto"/>
                <w:highlight w:val="none"/>
              </w:rPr>
              <w:t>分，满分</w:t>
            </w:r>
            <w:r>
              <w:rPr>
                <w:rFonts w:hint="eastAsia"/>
                <w:b w:val="0"/>
                <w:bCs w:val="0"/>
                <w:color w:val="auto"/>
                <w:highlight w:val="none"/>
                <w:lang w:val="en-US" w:eastAsia="zh-CN"/>
              </w:rPr>
              <w:t>9</w:t>
            </w:r>
            <w:r>
              <w:rPr>
                <w:rFonts w:hint="eastAsia"/>
                <w:b w:val="0"/>
                <w:bCs w:val="0"/>
                <w:color w:val="auto"/>
                <w:highlight w:val="none"/>
              </w:rPr>
              <w:t>分。</w:t>
            </w:r>
          </w:p>
          <w:p w14:paraId="5338DF51">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lang w:val="en-US" w:eastAsia="zh-CN"/>
              </w:rPr>
              <w:t>(1)</w:t>
            </w:r>
            <w:r>
              <w:rPr>
                <w:rFonts w:hint="eastAsia"/>
                <w:b w:val="0"/>
                <w:bCs w:val="0"/>
                <w:color w:val="auto"/>
                <w:highlight w:val="none"/>
              </w:rPr>
              <w:t>每有一项内容全面详细，完全符合项目要求，合理可行，逻辑清晰的，得</w:t>
            </w:r>
            <w:r>
              <w:rPr>
                <w:rFonts w:hint="eastAsia"/>
                <w:b w:val="0"/>
                <w:bCs w:val="0"/>
                <w:color w:val="auto"/>
                <w:highlight w:val="none"/>
                <w:lang w:val="en-US" w:eastAsia="zh-CN"/>
              </w:rPr>
              <w:t>3</w:t>
            </w:r>
            <w:r>
              <w:rPr>
                <w:rFonts w:hint="eastAsia"/>
                <w:b w:val="0"/>
                <w:bCs w:val="0"/>
                <w:color w:val="auto"/>
                <w:highlight w:val="none"/>
              </w:rPr>
              <w:t>分；</w:t>
            </w:r>
          </w:p>
          <w:p w14:paraId="5C8A3F25">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lang w:val="en-US" w:eastAsia="zh-CN"/>
              </w:rPr>
              <w:t>(2)</w:t>
            </w:r>
            <w:r>
              <w:rPr>
                <w:rFonts w:hint="eastAsia"/>
                <w:b w:val="0"/>
                <w:bCs w:val="0"/>
                <w:color w:val="auto"/>
                <w:highlight w:val="none"/>
              </w:rPr>
              <w:t>每有一项内容</w:t>
            </w:r>
            <w:r>
              <w:rPr>
                <w:rFonts w:hint="eastAsia"/>
                <w:b w:val="0"/>
                <w:bCs w:val="0"/>
                <w:color w:val="auto"/>
                <w:highlight w:val="none"/>
                <w:lang w:val="en-US" w:eastAsia="zh-CN"/>
              </w:rPr>
              <w:t>简单粗略</w:t>
            </w:r>
            <w:r>
              <w:rPr>
                <w:rFonts w:hint="eastAsia"/>
                <w:b w:val="0"/>
                <w:bCs w:val="0"/>
                <w:color w:val="auto"/>
                <w:highlight w:val="none"/>
              </w:rPr>
              <w:t>，</w:t>
            </w:r>
            <w:r>
              <w:rPr>
                <w:rFonts w:hint="eastAsia"/>
                <w:b w:val="0"/>
                <w:bCs w:val="0"/>
                <w:color w:val="auto"/>
                <w:highlight w:val="none"/>
                <w:lang w:val="en-US" w:eastAsia="zh-CN"/>
              </w:rPr>
              <w:t>难以</w:t>
            </w:r>
            <w:r>
              <w:rPr>
                <w:rFonts w:hint="eastAsia"/>
                <w:b w:val="0"/>
                <w:bCs w:val="0"/>
                <w:color w:val="auto"/>
                <w:highlight w:val="none"/>
              </w:rPr>
              <w:t>符合项目要求，</w:t>
            </w:r>
            <w:r>
              <w:rPr>
                <w:rFonts w:hint="eastAsia"/>
                <w:b w:val="0"/>
                <w:bCs w:val="0"/>
                <w:color w:val="auto"/>
                <w:highlight w:val="none"/>
                <w:lang w:val="en-US" w:eastAsia="zh-CN"/>
              </w:rPr>
              <w:t>不</w:t>
            </w:r>
            <w:r>
              <w:rPr>
                <w:rFonts w:hint="eastAsia"/>
                <w:b w:val="0"/>
                <w:bCs w:val="0"/>
                <w:color w:val="auto"/>
                <w:highlight w:val="none"/>
              </w:rPr>
              <w:t>合理可行，逻辑</w:t>
            </w:r>
            <w:r>
              <w:rPr>
                <w:rFonts w:hint="eastAsia"/>
                <w:b w:val="0"/>
                <w:bCs w:val="0"/>
                <w:color w:val="auto"/>
                <w:highlight w:val="none"/>
                <w:lang w:val="en-US" w:eastAsia="zh-CN"/>
              </w:rPr>
              <w:t>模糊</w:t>
            </w:r>
            <w:r>
              <w:rPr>
                <w:rFonts w:hint="eastAsia"/>
                <w:b w:val="0"/>
                <w:bCs w:val="0"/>
                <w:color w:val="auto"/>
                <w:highlight w:val="none"/>
              </w:rPr>
              <w:t>的，得</w:t>
            </w:r>
            <w:r>
              <w:rPr>
                <w:rFonts w:hint="eastAsia"/>
                <w:b w:val="0"/>
                <w:bCs w:val="0"/>
                <w:color w:val="auto"/>
                <w:highlight w:val="none"/>
                <w:lang w:val="en-US" w:eastAsia="zh-CN"/>
              </w:rPr>
              <w:t>1.5</w:t>
            </w:r>
            <w:r>
              <w:rPr>
                <w:rFonts w:hint="eastAsia"/>
                <w:b w:val="0"/>
                <w:bCs w:val="0"/>
                <w:color w:val="auto"/>
                <w:highlight w:val="none"/>
              </w:rPr>
              <w:t>分；</w:t>
            </w:r>
          </w:p>
          <w:p w14:paraId="08E6B183">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lang w:val="en-US" w:eastAsia="zh-CN"/>
              </w:rPr>
              <w:t>(3)</w:t>
            </w:r>
            <w:r>
              <w:rPr>
                <w:rFonts w:hint="eastAsia" w:ascii="Times New Roman" w:hAnsi="Times New Roman" w:eastAsia="宋体" w:cs="宋体"/>
                <w:b w:val="0"/>
                <w:bCs w:val="0"/>
                <w:caps w:val="0"/>
                <w:smallCaps w:val="0"/>
                <w:color w:val="auto"/>
                <w:kern w:val="2"/>
                <w:sz w:val="24"/>
                <w:szCs w:val="24"/>
                <w:highlight w:val="none"/>
                <w:lang w:val="en-US" w:eastAsia="zh-CN" w:bidi="ar-SA"/>
              </w:rPr>
              <w:t>每有一项内容未进行阐述的，该项不得分</w:t>
            </w:r>
            <w:r>
              <w:rPr>
                <w:rFonts w:hint="eastAsia"/>
                <w:b w:val="0"/>
                <w:bCs w:val="0"/>
                <w:color w:val="auto"/>
                <w:highlight w:val="none"/>
              </w:rPr>
              <w:t>。</w:t>
            </w:r>
          </w:p>
        </w:tc>
      </w:tr>
      <w:tr w14:paraId="305F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2" w:type="dxa"/>
            <w:vMerge w:val="continue"/>
            <w:vAlign w:val="center"/>
          </w:tcPr>
          <w:p w14:paraId="43A66C11">
            <w:pPr>
              <w:keepNext w:val="0"/>
              <w:keepLines w:val="0"/>
              <w:pageBreakBefore w:val="0"/>
              <w:kinsoku/>
              <w:wordWrap/>
              <w:overflowPunct/>
              <w:topLinePunct w:val="0"/>
              <w:bidi w:val="0"/>
              <w:spacing w:line="500" w:lineRule="exact"/>
              <w:jc w:val="center"/>
              <w:textAlignment w:val="auto"/>
              <w:rPr>
                <w:rFonts w:ascii="宋体" w:hAnsi="宋体"/>
                <w:bCs/>
                <w:color w:val="auto"/>
                <w:sz w:val="24"/>
                <w:szCs w:val="24"/>
                <w:highlight w:val="none"/>
              </w:rPr>
            </w:pPr>
          </w:p>
        </w:tc>
        <w:tc>
          <w:tcPr>
            <w:tcW w:w="1234" w:type="dxa"/>
            <w:vAlign w:val="center"/>
          </w:tcPr>
          <w:p w14:paraId="66AE79F8">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3.应急处理方案</w:t>
            </w:r>
          </w:p>
        </w:tc>
        <w:tc>
          <w:tcPr>
            <w:tcW w:w="1347" w:type="dxa"/>
            <w:vAlign w:val="center"/>
          </w:tcPr>
          <w:p w14:paraId="2E6B13F7">
            <w:pPr>
              <w:keepNext w:val="0"/>
              <w:keepLines w:val="0"/>
              <w:pageBreakBefore w:val="0"/>
              <w:kinsoku/>
              <w:wordWrap/>
              <w:overflowPunct/>
              <w:topLinePunct w:val="0"/>
              <w:bidi w:val="0"/>
              <w:spacing w:line="500" w:lineRule="exact"/>
              <w:jc w:val="center"/>
              <w:textAlignment w:val="auto"/>
              <w:rPr>
                <w:rFonts w:hint="eastAsia" w:ascii="宋体" w:hAnsi="宋体"/>
                <w:color w:val="auto"/>
                <w:sz w:val="24"/>
                <w:szCs w:val="24"/>
                <w:highlight w:val="none"/>
              </w:rPr>
            </w:pP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分</w:t>
            </w:r>
          </w:p>
        </w:tc>
        <w:tc>
          <w:tcPr>
            <w:tcW w:w="6707" w:type="dxa"/>
            <w:vAlign w:val="center"/>
          </w:tcPr>
          <w:p w14:paraId="31DCFCB5">
            <w:pPr>
              <w:pStyle w:val="11"/>
              <w:keepNext w:val="0"/>
              <w:keepLines w:val="0"/>
              <w:pageBreakBefore w:val="0"/>
              <w:kinsoku/>
              <w:wordWrap/>
              <w:overflowPunct/>
              <w:topLinePunct w:val="0"/>
              <w:bidi w:val="0"/>
              <w:spacing w:line="500" w:lineRule="exact"/>
              <w:textAlignment w:val="auto"/>
              <w:rPr>
                <w:b w:val="0"/>
                <w:bCs w:val="0"/>
                <w:color w:val="auto"/>
                <w:highlight w:val="none"/>
              </w:rPr>
            </w:pPr>
            <w:r>
              <w:rPr>
                <w:rFonts w:hint="eastAsia"/>
                <w:b w:val="0"/>
                <w:bCs w:val="0"/>
                <w:color w:val="auto"/>
                <w:highlight w:val="none"/>
              </w:rPr>
              <w:t>根据</w:t>
            </w:r>
            <w:r>
              <w:rPr>
                <w:rFonts w:hint="eastAsia"/>
                <w:b w:val="0"/>
                <w:bCs w:val="0"/>
                <w:color w:val="auto"/>
                <w:highlight w:val="none"/>
                <w:lang w:val="en-US" w:eastAsia="zh-CN"/>
              </w:rPr>
              <w:t>投标人</w:t>
            </w:r>
            <w:r>
              <w:rPr>
                <w:rFonts w:hint="eastAsia"/>
                <w:b w:val="0"/>
                <w:bCs w:val="0"/>
                <w:color w:val="auto"/>
                <w:highlight w:val="none"/>
              </w:rPr>
              <w:t>提供的应急处理方案包括但不限于：①应急岗位职责、</w:t>
            </w:r>
            <w:r>
              <w:rPr>
                <w:rFonts w:hint="eastAsia"/>
                <w:b w:val="0"/>
                <w:bCs w:val="0"/>
                <w:color w:val="auto"/>
                <w:highlight w:val="none"/>
                <w:lang w:val="en-US" w:eastAsia="zh-CN"/>
              </w:rPr>
              <w:t>②</w:t>
            </w:r>
            <w:r>
              <w:rPr>
                <w:rFonts w:hint="eastAsia"/>
                <w:b w:val="0"/>
                <w:bCs w:val="0"/>
                <w:color w:val="auto"/>
                <w:highlight w:val="none"/>
              </w:rPr>
              <w:t>应急预案</w:t>
            </w:r>
            <w:r>
              <w:rPr>
                <w:rFonts w:hint="eastAsia"/>
                <w:b w:val="0"/>
                <w:bCs w:val="0"/>
                <w:color w:val="auto"/>
                <w:highlight w:val="none"/>
                <w:lang w:eastAsia="zh-CN"/>
              </w:rPr>
              <w:t>、</w:t>
            </w:r>
            <w:r>
              <w:rPr>
                <w:rFonts w:hint="eastAsia"/>
                <w:b w:val="0"/>
                <w:bCs w:val="0"/>
                <w:color w:val="auto"/>
                <w:highlight w:val="none"/>
                <w:lang w:val="en-US" w:eastAsia="zh-CN"/>
              </w:rPr>
              <w:t>③</w:t>
            </w:r>
            <w:r>
              <w:rPr>
                <w:rFonts w:hint="eastAsia"/>
                <w:b w:val="0"/>
                <w:bCs w:val="0"/>
                <w:color w:val="auto"/>
                <w:highlight w:val="none"/>
              </w:rPr>
              <w:t>应急处理方式、</w:t>
            </w:r>
            <w:r>
              <w:rPr>
                <w:rFonts w:hint="eastAsia"/>
                <w:b w:val="0"/>
                <w:bCs w:val="0"/>
                <w:color w:val="auto"/>
                <w:highlight w:val="none"/>
                <w:lang w:val="en-US" w:eastAsia="zh-CN"/>
              </w:rPr>
              <w:t>④应急</w:t>
            </w:r>
            <w:r>
              <w:rPr>
                <w:rFonts w:hint="eastAsia"/>
                <w:b w:val="0"/>
                <w:bCs w:val="0"/>
                <w:color w:val="auto"/>
                <w:highlight w:val="none"/>
              </w:rPr>
              <w:t>响应时间</w:t>
            </w:r>
            <w:r>
              <w:rPr>
                <w:rFonts w:hint="eastAsia"/>
                <w:b w:val="0"/>
                <w:bCs w:val="0"/>
                <w:color w:val="auto"/>
                <w:highlight w:val="none"/>
                <w:lang w:val="en-US" w:eastAsia="zh-CN"/>
              </w:rPr>
              <w:t>4</w:t>
            </w:r>
            <w:r>
              <w:rPr>
                <w:rFonts w:hint="eastAsia"/>
                <w:b w:val="0"/>
                <w:bCs w:val="0"/>
                <w:color w:val="auto"/>
                <w:highlight w:val="none"/>
              </w:rPr>
              <w:t>项内容，每项内容</w:t>
            </w:r>
            <w:r>
              <w:rPr>
                <w:rFonts w:hint="eastAsia"/>
                <w:b w:val="0"/>
                <w:bCs w:val="0"/>
                <w:color w:val="auto"/>
                <w:highlight w:val="none"/>
                <w:lang w:val="en-US" w:eastAsia="zh-CN"/>
              </w:rPr>
              <w:t>2.5</w:t>
            </w:r>
            <w:r>
              <w:rPr>
                <w:rFonts w:hint="eastAsia"/>
                <w:b w:val="0"/>
                <w:bCs w:val="0"/>
                <w:color w:val="auto"/>
                <w:highlight w:val="none"/>
              </w:rPr>
              <w:t>分，满分</w:t>
            </w:r>
            <w:r>
              <w:rPr>
                <w:rFonts w:hint="eastAsia"/>
                <w:b w:val="0"/>
                <w:bCs w:val="0"/>
                <w:color w:val="auto"/>
                <w:highlight w:val="none"/>
                <w:lang w:val="en-US" w:eastAsia="zh-CN"/>
              </w:rPr>
              <w:t>10</w:t>
            </w:r>
            <w:r>
              <w:rPr>
                <w:rFonts w:hint="eastAsia"/>
                <w:b w:val="0"/>
                <w:bCs w:val="0"/>
                <w:color w:val="auto"/>
                <w:highlight w:val="none"/>
              </w:rPr>
              <w:t>分。</w:t>
            </w:r>
          </w:p>
          <w:p w14:paraId="7B062F92">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(1)每有一项内容全面详细，科学合理</w:t>
            </w:r>
            <w:r>
              <w:rPr>
                <w:rFonts w:hint="eastAsia"/>
                <w:b w:val="0"/>
                <w:bCs w:val="0"/>
                <w:color w:val="auto"/>
                <w:highlight w:val="none"/>
                <w:lang w:val="en-US" w:eastAsia="zh-CN"/>
              </w:rPr>
              <w:t>可行</w:t>
            </w:r>
            <w:r>
              <w:rPr>
                <w:rFonts w:hint="eastAsia"/>
                <w:b w:val="0"/>
                <w:bCs w:val="0"/>
                <w:color w:val="auto"/>
                <w:highlight w:val="none"/>
              </w:rPr>
              <w:t>，充分考虑医院应急配送保障要求，逻辑清晰的，得</w:t>
            </w:r>
            <w:r>
              <w:rPr>
                <w:rFonts w:hint="eastAsia"/>
                <w:b w:val="0"/>
                <w:bCs w:val="0"/>
                <w:color w:val="auto"/>
                <w:highlight w:val="none"/>
                <w:lang w:val="en-US" w:eastAsia="zh-CN"/>
              </w:rPr>
              <w:t>2.5</w:t>
            </w:r>
            <w:r>
              <w:rPr>
                <w:rFonts w:hint="eastAsia"/>
                <w:b w:val="0"/>
                <w:bCs w:val="0"/>
                <w:color w:val="auto"/>
                <w:highlight w:val="none"/>
              </w:rPr>
              <w:t>分；</w:t>
            </w:r>
          </w:p>
          <w:p w14:paraId="42BD7478">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(2)每有一项内容简单粗略，</w:t>
            </w:r>
            <w:r>
              <w:rPr>
                <w:rFonts w:hint="eastAsia"/>
                <w:b w:val="0"/>
                <w:bCs w:val="0"/>
                <w:color w:val="auto"/>
                <w:highlight w:val="none"/>
                <w:lang w:val="en-US" w:eastAsia="zh-CN"/>
              </w:rPr>
              <w:t>不</w:t>
            </w:r>
            <w:r>
              <w:rPr>
                <w:rFonts w:hint="eastAsia"/>
                <w:b w:val="0"/>
                <w:bCs w:val="0"/>
                <w:color w:val="auto"/>
                <w:highlight w:val="none"/>
              </w:rPr>
              <w:t>合理</w:t>
            </w:r>
            <w:r>
              <w:rPr>
                <w:rFonts w:hint="eastAsia"/>
                <w:b w:val="0"/>
                <w:bCs w:val="0"/>
                <w:color w:val="auto"/>
                <w:highlight w:val="none"/>
                <w:lang w:val="en-US" w:eastAsia="zh-CN"/>
              </w:rPr>
              <w:t>可行</w:t>
            </w:r>
            <w:r>
              <w:rPr>
                <w:rFonts w:hint="eastAsia"/>
                <w:b w:val="0"/>
                <w:bCs w:val="0"/>
                <w:color w:val="auto"/>
                <w:highlight w:val="none"/>
              </w:rPr>
              <w:t>，考虑医院应急配送保障要求</w:t>
            </w:r>
            <w:r>
              <w:rPr>
                <w:rFonts w:hint="eastAsia"/>
                <w:b w:val="0"/>
                <w:bCs w:val="0"/>
                <w:color w:val="auto"/>
                <w:highlight w:val="none"/>
                <w:lang w:val="en-US" w:eastAsia="zh-CN"/>
              </w:rPr>
              <w:t>不到位</w:t>
            </w:r>
            <w:r>
              <w:rPr>
                <w:rFonts w:hint="eastAsia"/>
                <w:b w:val="0"/>
                <w:bCs w:val="0"/>
                <w:color w:val="auto"/>
                <w:highlight w:val="none"/>
              </w:rPr>
              <w:t>，逻辑模糊的，得</w:t>
            </w:r>
            <w:r>
              <w:rPr>
                <w:rFonts w:hint="eastAsia"/>
                <w:b w:val="0"/>
                <w:bCs w:val="0"/>
                <w:color w:val="auto"/>
                <w:highlight w:val="none"/>
                <w:lang w:val="en-US" w:eastAsia="zh-CN"/>
              </w:rPr>
              <w:t>1.5</w:t>
            </w:r>
            <w:r>
              <w:rPr>
                <w:rFonts w:hint="eastAsia"/>
                <w:b w:val="0"/>
                <w:bCs w:val="0"/>
                <w:color w:val="auto"/>
                <w:highlight w:val="none"/>
              </w:rPr>
              <w:t>分；</w:t>
            </w:r>
          </w:p>
          <w:p w14:paraId="337DD4B8">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(3)</w:t>
            </w:r>
            <w:r>
              <w:rPr>
                <w:rFonts w:hint="eastAsia" w:ascii="Times New Roman" w:hAnsi="Times New Roman" w:eastAsia="宋体" w:cs="宋体"/>
                <w:b w:val="0"/>
                <w:bCs w:val="0"/>
                <w:caps w:val="0"/>
                <w:smallCaps w:val="0"/>
                <w:color w:val="auto"/>
                <w:kern w:val="2"/>
                <w:sz w:val="24"/>
                <w:szCs w:val="24"/>
                <w:highlight w:val="none"/>
                <w:lang w:val="en-US" w:eastAsia="zh-CN" w:bidi="ar-SA"/>
              </w:rPr>
              <w:t>每有一项内容未进行阐述的，该项不得分</w:t>
            </w:r>
            <w:r>
              <w:rPr>
                <w:rFonts w:hint="eastAsia"/>
                <w:b w:val="0"/>
                <w:bCs w:val="0"/>
                <w:color w:val="auto"/>
                <w:highlight w:val="none"/>
              </w:rPr>
              <w:t>。</w:t>
            </w:r>
          </w:p>
        </w:tc>
      </w:tr>
      <w:tr w14:paraId="4B56B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2" w:type="dxa"/>
            <w:vMerge w:val="continue"/>
            <w:vAlign w:val="center"/>
          </w:tcPr>
          <w:p w14:paraId="6123A53A">
            <w:pPr>
              <w:keepNext w:val="0"/>
              <w:keepLines w:val="0"/>
              <w:pageBreakBefore w:val="0"/>
              <w:kinsoku/>
              <w:wordWrap/>
              <w:overflowPunct/>
              <w:topLinePunct w:val="0"/>
              <w:bidi w:val="0"/>
              <w:spacing w:line="500" w:lineRule="exact"/>
              <w:jc w:val="center"/>
              <w:textAlignment w:val="auto"/>
              <w:rPr>
                <w:rFonts w:ascii="宋体" w:hAnsi="宋体"/>
                <w:bCs/>
                <w:color w:val="auto"/>
                <w:sz w:val="24"/>
                <w:szCs w:val="24"/>
                <w:highlight w:val="none"/>
              </w:rPr>
            </w:pPr>
          </w:p>
        </w:tc>
        <w:tc>
          <w:tcPr>
            <w:tcW w:w="1234" w:type="dxa"/>
            <w:vAlign w:val="center"/>
          </w:tcPr>
          <w:p w14:paraId="49AE8DA7">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4.售后服务方案</w:t>
            </w:r>
          </w:p>
        </w:tc>
        <w:tc>
          <w:tcPr>
            <w:tcW w:w="1347" w:type="dxa"/>
            <w:vAlign w:val="center"/>
          </w:tcPr>
          <w:p w14:paraId="334F4373">
            <w:pPr>
              <w:keepNext w:val="0"/>
              <w:keepLines w:val="0"/>
              <w:pageBreakBefore w:val="0"/>
              <w:kinsoku/>
              <w:wordWrap/>
              <w:overflowPunct/>
              <w:topLinePunct w:val="0"/>
              <w:bidi w:val="0"/>
              <w:spacing w:line="50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15</w:t>
            </w:r>
            <w:r>
              <w:rPr>
                <w:rFonts w:ascii="宋体" w:hAnsi="宋体" w:cs="宋体"/>
                <w:color w:val="auto"/>
                <w:sz w:val="24"/>
                <w:szCs w:val="24"/>
                <w:highlight w:val="none"/>
              </w:rPr>
              <w:t>分</w:t>
            </w:r>
          </w:p>
        </w:tc>
        <w:tc>
          <w:tcPr>
            <w:tcW w:w="6707" w:type="dxa"/>
            <w:vAlign w:val="center"/>
          </w:tcPr>
          <w:p w14:paraId="11BD4B5F">
            <w:pPr>
              <w:pStyle w:val="11"/>
              <w:keepNext w:val="0"/>
              <w:keepLines w:val="0"/>
              <w:pageBreakBefore w:val="0"/>
              <w:kinsoku/>
              <w:wordWrap/>
              <w:overflowPunct/>
              <w:topLinePunct w:val="0"/>
              <w:bidi w:val="0"/>
              <w:spacing w:line="500" w:lineRule="exact"/>
              <w:textAlignment w:val="auto"/>
              <w:rPr>
                <w:b w:val="0"/>
                <w:bCs w:val="0"/>
                <w:color w:val="auto"/>
                <w:highlight w:val="none"/>
              </w:rPr>
            </w:pPr>
            <w:r>
              <w:rPr>
                <w:rFonts w:hint="eastAsia"/>
                <w:b w:val="0"/>
                <w:bCs w:val="0"/>
                <w:color w:val="auto"/>
                <w:highlight w:val="none"/>
              </w:rPr>
              <w:t>根据</w:t>
            </w:r>
            <w:r>
              <w:rPr>
                <w:rFonts w:hint="eastAsia"/>
                <w:b w:val="0"/>
                <w:bCs w:val="0"/>
                <w:color w:val="auto"/>
                <w:highlight w:val="none"/>
                <w:lang w:val="en-US" w:eastAsia="zh-CN"/>
              </w:rPr>
              <w:t>投标人</w:t>
            </w:r>
            <w:r>
              <w:rPr>
                <w:rFonts w:hint="eastAsia"/>
                <w:b w:val="0"/>
                <w:bCs w:val="0"/>
                <w:color w:val="auto"/>
                <w:highlight w:val="none"/>
              </w:rPr>
              <w:t>提供的售后服务方案包括但不限于：①售后应急解决方案、</w:t>
            </w:r>
            <w:r>
              <w:rPr>
                <w:rFonts w:hint="eastAsia"/>
                <w:b w:val="0"/>
                <w:bCs w:val="0"/>
                <w:color w:val="auto"/>
                <w:highlight w:val="none"/>
                <w:lang w:val="en-US" w:eastAsia="zh-CN"/>
              </w:rPr>
              <w:t>②</w:t>
            </w:r>
            <w:r>
              <w:rPr>
                <w:rFonts w:hint="eastAsia"/>
                <w:b w:val="0"/>
                <w:bCs w:val="0"/>
                <w:color w:val="auto"/>
                <w:highlight w:val="none"/>
              </w:rPr>
              <w:t>后续服务计划</w:t>
            </w:r>
            <w:r>
              <w:rPr>
                <w:rFonts w:hint="eastAsia"/>
                <w:b w:val="0"/>
                <w:bCs w:val="0"/>
                <w:color w:val="auto"/>
                <w:highlight w:val="none"/>
                <w:lang w:eastAsia="zh-CN"/>
              </w:rPr>
              <w:t>、</w:t>
            </w:r>
            <w:r>
              <w:rPr>
                <w:rFonts w:hint="eastAsia"/>
                <w:b w:val="0"/>
                <w:bCs w:val="0"/>
                <w:color w:val="auto"/>
                <w:highlight w:val="none"/>
                <w:lang w:val="en-US" w:eastAsia="zh-CN"/>
              </w:rPr>
              <w:t>③</w:t>
            </w:r>
            <w:r>
              <w:rPr>
                <w:rFonts w:hint="eastAsia"/>
                <w:b w:val="0"/>
                <w:bCs w:val="0"/>
                <w:color w:val="auto"/>
                <w:highlight w:val="none"/>
              </w:rPr>
              <w:t>保障措施、</w:t>
            </w:r>
            <w:r>
              <w:rPr>
                <w:rFonts w:hint="eastAsia"/>
                <w:b w:val="0"/>
                <w:bCs w:val="0"/>
                <w:color w:val="auto"/>
                <w:highlight w:val="none"/>
                <w:lang w:val="en-US" w:eastAsia="zh-CN"/>
              </w:rPr>
              <w:t>④</w:t>
            </w:r>
            <w:r>
              <w:rPr>
                <w:rFonts w:hint="eastAsia"/>
                <w:b w:val="0"/>
                <w:bCs w:val="0"/>
                <w:color w:val="auto"/>
                <w:highlight w:val="none"/>
              </w:rPr>
              <w:t>售后服务承诺</w:t>
            </w:r>
            <w:r>
              <w:rPr>
                <w:rFonts w:hint="eastAsia"/>
                <w:b w:val="0"/>
                <w:bCs w:val="0"/>
                <w:color w:val="auto"/>
                <w:highlight w:val="none"/>
                <w:lang w:eastAsia="zh-CN"/>
              </w:rPr>
              <w:t>、</w:t>
            </w:r>
            <w:r>
              <w:rPr>
                <w:rFonts w:hint="eastAsia"/>
                <w:b w:val="0"/>
                <w:bCs w:val="0"/>
                <w:color w:val="auto"/>
                <w:highlight w:val="none"/>
                <w:lang w:val="en-US" w:eastAsia="zh-CN"/>
              </w:rPr>
              <w:t>⑤</w:t>
            </w:r>
            <w:r>
              <w:rPr>
                <w:rFonts w:hint="eastAsia"/>
                <w:b w:val="0"/>
                <w:bCs w:val="0"/>
                <w:color w:val="auto"/>
                <w:highlight w:val="none"/>
              </w:rPr>
              <w:t>相应的惩罚措施</w:t>
            </w:r>
            <w:r>
              <w:rPr>
                <w:rFonts w:hint="eastAsia"/>
                <w:b w:val="0"/>
                <w:bCs w:val="0"/>
                <w:color w:val="auto"/>
                <w:highlight w:val="none"/>
                <w:lang w:val="en-US" w:eastAsia="zh-CN"/>
              </w:rPr>
              <w:t>5</w:t>
            </w:r>
            <w:r>
              <w:rPr>
                <w:rFonts w:hint="eastAsia"/>
                <w:b w:val="0"/>
                <w:bCs w:val="0"/>
                <w:color w:val="auto"/>
                <w:highlight w:val="none"/>
              </w:rPr>
              <w:t>项内容，每项内容</w:t>
            </w:r>
            <w:r>
              <w:rPr>
                <w:rFonts w:hint="eastAsia"/>
                <w:b w:val="0"/>
                <w:bCs w:val="0"/>
                <w:color w:val="auto"/>
                <w:highlight w:val="none"/>
                <w:lang w:val="en-US" w:eastAsia="zh-CN"/>
              </w:rPr>
              <w:t>3</w:t>
            </w:r>
            <w:r>
              <w:rPr>
                <w:rFonts w:hint="eastAsia"/>
                <w:b w:val="0"/>
                <w:bCs w:val="0"/>
                <w:color w:val="auto"/>
                <w:highlight w:val="none"/>
              </w:rPr>
              <w:t>分，满分</w:t>
            </w:r>
            <w:r>
              <w:rPr>
                <w:rFonts w:hint="eastAsia"/>
                <w:b w:val="0"/>
                <w:bCs w:val="0"/>
                <w:color w:val="auto"/>
                <w:highlight w:val="none"/>
                <w:lang w:val="en-US" w:eastAsia="zh-CN"/>
              </w:rPr>
              <w:t>15</w:t>
            </w:r>
            <w:r>
              <w:rPr>
                <w:rFonts w:hint="eastAsia"/>
                <w:b w:val="0"/>
                <w:bCs w:val="0"/>
                <w:color w:val="auto"/>
                <w:highlight w:val="none"/>
              </w:rPr>
              <w:t>分。</w:t>
            </w:r>
          </w:p>
          <w:p w14:paraId="111B87C9">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(1)每有一项内容全面详细，完全符合项目要求，合理可行，逻辑清晰的，得</w:t>
            </w:r>
            <w:r>
              <w:rPr>
                <w:rFonts w:hint="eastAsia"/>
                <w:b w:val="0"/>
                <w:bCs w:val="0"/>
                <w:color w:val="auto"/>
                <w:highlight w:val="none"/>
                <w:lang w:val="en-US" w:eastAsia="zh-CN"/>
              </w:rPr>
              <w:t>3</w:t>
            </w:r>
            <w:r>
              <w:rPr>
                <w:rFonts w:hint="eastAsia"/>
                <w:b w:val="0"/>
                <w:bCs w:val="0"/>
                <w:color w:val="auto"/>
                <w:highlight w:val="none"/>
              </w:rPr>
              <w:t>分；</w:t>
            </w:r>
          </w:p>
          <w:p w14:paraId="2BF4CB88">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(2)每有一项内容简单粗略，难以符合项目要求，不合理可行，逻辑模糊的，得</w:t>
            </w:r>
            <w:r>
              <w:rPr>
                <w:rFonts w:hint="eastAsia"/>
                <w:b w:val="0"/>
                <w:bCs w:val="0"/>
                <w:color w:val="auto"/>
                <w:highlight w:val="none"/>
                <w:lang w:val="en-US" w:eastAsia="zh-CN"/>
              </w:rPr>
              <w:t>1.5</w:t>
            </w:r>
            <w:r>
              <w:rPr>
                <w:rFonts w:hint="eastAsia"/>
                <w:b w:val="0"/>
                <w:bCs w:val="0"/>
                <w:color w:val="auto"/>
                <w:highlight w:val="none"/>
              </w:rPr>
              <w:t>分；</w:t>
            </w:r>
          </w:p>
          <w:p w14:paraId="6B5D6691">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(3)</w:t>
            </w:r>
            <w:r>
              <w:rPr>
                <w:rFonts w:hint="eastAsia" w:ascii="Times New Roman" w:hAnsi="Times New Roman" w:eastAsia="宋体" w:cs="宋体"/>
                <w:b w:val="0"/>
                <w:bCs w:val="0"/>
                <w:caps w:val="0"/>
                <w:smallCaps w:val="0"/>
                <w:color w:val="auto"/>
                <w:kern w:val="2"/>
                <w:sz w:val="24"/>
                <w:szCs w:val="24"/>
                <w:highlight w:val="none"/>
                <w:lang w:val="en-US" w:eastAsia="zh-CN" w:bidi="ar-SA"/>
              </w:rPr>
              <w:t>每有一项内容未进行阐述的，该项不得分</w:t>
            </w:r>
            <w:r>
              <w:rPr>
                <w:rFonts w:hint="eastAsia"/>
                <w:b w:val="0"/>
                <w:bCs w:val="0"/>
                <w:color w:val="auto"/>
                <w:highlight w:val="none"/>
              </w:rPr>
              <w:t>。</w:t>
            </w:r>
          </w:p>
        </w:tc>
      </w:tr>
      <w:tr w14:paraId="31F2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2" w:type="dxa"/>
            <w:vMerge w:val="continue"/>
            <w:vAlign w:val="center"/>
          </w:tcPr>
          <w:p w14:paraId="5D487473">
            <w:pPr>
              <w:keepNext w:val="0"/>
              <w:keepLines w:val="0"/>
              <w:pageBreakBefore w:val="0"/>
              <w:kinsoku/>
              <w:wordWrap/>
              <w:overflowPunct/>
              <w:topLinePunct w:val="0"/>
              <w:bidi w:val="0"/>
              <w:spacing w:line="500" w:lineRule="exact"/>
              <w:jc w:val="center"/>
              <w:textAlignment w:val="auto"/>
              <w:rPr>
                <w:rFonts w:ascii="宋体" w:hAnsi="宋体"/>
                <w:bCs/>
                <w:color w:val="auto"/>
                <w:sz w:val="24"/>
                <w:szCs w:val="24"/>
                <w:highlight w:val="none"/>
              </w:rPr>
            </w:pPr>
          </w:p>
        </w:tc>
        <w:tc>
          <w:tcPr>
            <w:tcW w:w="1234" w:type="dxa"/>
            <w:vAlign w:val="center"/>
          </w:tcPr>
          <w:p w14:paraId="5BBAE49A">
            <w:pPr>
              <w:pStyle w:val="11"/>
              <w:keepNext w:val="0"/>
              <w:keepLines w:val="0"/>
              <w:pageBreakBefore w:val="0"/>
              <w:kinsoku/>
              <w:wordWrap/>
              <w:overflowPunct/>
              <w:topLinePunct w:val="0"/>
              <w:bidi w:val="0"/>
              <w:spacing w:line="500" w:lineRule="exact"/>
              <w:textAlignment w:val="auto"/>
              <w:rPr>
                <w:rFonts w:hint="default" w:eastAsia="宋体"/>
                <w:b w:val="0"/>
                <w:bCs w:val="0"/>
                <w:color w:val="auto"/>
                <w:highlight w:val="none"/>
                <w:lang w:val="en-US" w:eastAsia="zh-CN"/>
              </w:rPr>
            </w:pPr>
            <w:r>
              <w:rPr>
                <w:rFonts w:hint="eastAsia"/>
                <w:b w:val="0"/>
                <w:bCs w:val="0"/>
                <w:color w:val="auto"/>
                <w:highlight w:val="none"/>
                <w:lang w:val="en-US" w:eastAsia="zh-CN"/>
              </w:rPr>
              <w:t>5.技术培训计划及措施</w:t>
            </w:r>
          </w:p>
        </w:tc>
        <w:tc>
          <w:tcPr>
            <w:tcW w:w="1347" w:type="dxa"/>
            <w:vAlign w:val="center"/>
          </w:tcPr>
          <w:p w14:paraId="2D45FAD7">
            <w:pPr>
              <w:keepNext w:val="0"/>
              <w:keepLines w:val="0"/>
              <w:pageBreakBefore w:val="0"/>
              <w:kinsoku/>
              <w:wordWrap/>
              <w:overflowPunct/>
              <w:topLinePunct w:val="0"/>
              <w:bidi w:val="0"/>
              <w:spacing w:line="50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10分</w:t>
            </w:r>
          </w:p>
        </w:tc>
        <w:tc>
          <w:tcPr>
            <w:tcW w:w="6707" w:type="dxa"/>
            <w:vAlign w:val="center"/>
          </w:tcPr>
          <w:p w14:paraId="74E4E28F">
            <w:pPr>
              <w:pStyle w:val="11"/>
              <w:keepNext w:val="0"/>
              <w:keepLines w:val="0"/>
              <w:pageBreakBefore w:val="0"/>
              <w:kinsoku/>
              <w:wordWrap/>
              <w:overflowPunct/>
              <w:topLinePunct w:val="0"/>
              <w:bidi w:val="0"/>
              <w:spacing w:line="500" w:lineRule="exact"/>
              <w:textAlignment w:val="auto"/>
              <w:rPr>
                <w:b w:val="0"/>
                <w:bCs w:val="0"/>
                <w:color w:val="auto"/>
                <w:highlight w:val="none"/>
              </w:rPr>
            </w:pPr>
            <w:r>
              <w:rPr>
                <w:rFonts w:hint="eastAsia"/>
                <w:b w:val="0"/>
                <w:bCs w:val="0"/>
                <w:color w:val="auto"/>
                <w:highlight w:val="none"/>
              </w:rPr>
              <w:t>根据</w:t>
            </w:r>
            <w:r>
              <w:rPr>
                <w:rFonts w:hint="eastAsia"/>
                <w:b w:val="0"/>
                <w:bCs w:val="0"/>
                <w:color w:val="auto"/>
                <w:highlight w:val="none"/>
                <w:lang w:val="en-US" w:eastAsia="zh-CN"/>
              </w:rPr>
              <w:t>投标人</w:t>
            </w:r>
            <w:r>
              <w:rPr>
                <w:rFonts w:hint="eastAsia"/>
                <w:b w:val="0"/>
                <w:bCs w:val="0"/>
                <w:color w:val="auto"/>
                <w:highlight w:val="none"/>
              </w:rPr>
              <w:t>提供的售后服务方案包括但不限于：①培训目标；②培训内容；③培训方式；④培训师资；⑤人员管理措施</w:t>
            </w:r>
            <w:r>
              <w:rPr>
                <w:rFonts w:hint="eastAsia"/>
                <w:b w:val="0"/>
                <w:bCs w:val="0"/>
                <w:color w:val="auto"/>
                <w:highlight w:val="none"/>
                <w:lang w:val="en-US" w:eastAsia="zh-CN"/>
              </w:rPr>
              <w:t>5</w:t>
            </w:r>
            <w:r>
              <w:rPr>
                <w:rFonts w:hint="eastAsia"/>
                <w:b w:val="0"/>
                <w:bCs w:val="0"/>
                <w:color w:val="auto"/>
                <w:highlight w:val="none"/>
              </w:rPr>
              <w:t>项内容，每项内容</w:t>
            </w:r>
            <w:r>
              <w:rPr>
                <w:rFonts w:hint="eastAsia"/>
                <w:b w:val="0"/>
                <w:bCs w:val="0"/>
                <w:color w:val="auto"/>
                <w:highlight w:val="none"/>
                <w:lang w:val="en-US" w:eastAsia="zh-CN"/>
              </w:rPr>
              <w:t>2</w:t>
            </w:r>
            <w:r>
              <w:rPr>
                <w:rFonts w:hint="eastAsia"/>
                <w:b w:val="0"/>
                <w:bCs w:val="0"/>
                <w:color w:val="auto"/>
                <w:highlight w:val="none"/>
              </w:rPr>
              <w:t>分，满分</w:t>
            </w:r>
            <w:r>
              <w:rPr>
                <w:rFonts w:hint="eastAsia"/>
                <w:b w:val="0"/>
                <w:bCs w:val="0"/>
                <w:color w:val="auto"/>
                <w:highlight w:val="none"/>
                <w:lang w:val="en-US" w:eastAsia="zh-CN"/>
              </w:rPr>
              <w:t>10</w:t>
            </w:r>
            <w:r>
              <w:rPr>
                <w:rFonts w:hint="eastAsia"/>
                <w:b w:val="0"/>
                <w:bCs w:val="0"/>
                <w:color w:val="auto"/>
                <w:highlight w:val="none"/>
              </w:rPr>
              <w:t>分。</w:t>
            </w:r>
          </w:p>
          <w:p w14:paraId="10B34623">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(1)每有一项内容进行了详细阐述且贴合项目需求，</w:t>
            </w:r>
            <w:r>
              <w:rPr>
                <w:rFonts w:hint="eastAsia"/>
                <w:b w:val="0"/>
                <w:bCs w:val="0"/>
                <w:color w:val="auto"/>
                <w:highlight w:val="none"/>
                <w:lang w:val="en-US" w:eastAsia="zh-CN"/>
              </w:rPr>
              <w:t>有</w:t>
            </w:r>
            <w:r>
              <w:rPr>
                <w:rFonts w:hint="eastAsia"/>
                <w:b w:val="0"/>
                <w:bCs w:val="0"/>
                <w:color w:val="auto"/>
                <w:highlight w:val="none"/>
              </w:rPr>
              <w:t>针对性，能有效保证项目实施的，得</w:t>
            </w:r>
            <w:r>
              <w:rPr>
                <w:rFonts w:hint="eastAsia"/>
                <w:b w:val="0"/>
                <w:bCs w:val="0"/>
                <w:color w:val="auto"/>
                <w:highlight w:val="none"/>
                <w:lang w:val="en-US" w:eastAsia="zh-CN"/>
              </w:rPr>
              <w:t>2</w:t>
            </w:r>
            <w:r>
              <w:rPr>
                <w:rFonts w:hint="eastAsia"/>
                <w:b w:val="0"/>
                <w:bCs w:val="0"/>
                <w:color w:val="auto"/>
                <w:highlight w:val="none"/>
              </w:rPr>
              <w:t>分。</w:t>
            </w:r>
          </w:p>
          <w:p w14:paraId="50BADA1E">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(2)每有一项内容虽进行阐述但内容简略，缺乏针对性，基本能保证项目实施的，得</w:t>
            </w:r>
            <w:r>
              <w:rPr>
                <w:rFonts w:hint="eastAsia"/>
                <w:b w:val="0"/>
                <w:bCs w:val="0"/>
                <w:color w:val="auto"/>
                <w:highlight w:val="none"/>
                <w:lang w:val="en-US" w:eastAsia="zh-CN"/>
              </w:rPr>
              <w:t>1</w:t>
            </w:r>
            <w:r>
              <w:rPr>
                <w:rFonts w:hint="eastAsia"/>
                <w:b w:val="0"/>
                <w:bCs w:val="0"/>
                <w:color w:val="auto"/>
                <w:highlight w:val="none"/>
              </w:rPr>
              <w:t>分。</w:t>
            </w:r>
          </w:p>
          <w:p w14:paraId="1D5190F5">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(3)每有一项内容未进行阐述的，该项不得分。</w:t>
            </w:r>
          </w:p>
        </w:tc>
      </w:tr>
      <w:tr w14:paraId="3BA7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2" w:type="dxa"/>
            <w:vAlign w:val="center"/>
          </w:tcPr>
          <w:p w14:paraId="34D73043">
            <w:pPr>
              <w:keepNext w:val="0"/>
              <w:keepLines w:val="0"/>
              <w:pageBreakBefore w:val="0"/>
              <w:kinsoku/>
              <w:wordWrap/>
              <w:overflowPunct/>
              <w:topLinePunct w:val="0"/>
              <w:bidi w:val="0"/>
              <w:spacing w:line="500" w:lineRule="exact"/>
              <w:jc w:val="center"/>
              <w:textAlignment w:val="auto"/>
              <w:rPr>
                <w:rFonts w:ascii="宋体" w:hAnsi="宋体"/>
                <w:bCs/>
                <w:color w:val="auto"/>
                <w:sz w:val="24"/>
                <w:szCs w:val="24"/>
                <w:highlight w:val="none"/>
              </w:rPr>
            </w:pPr>
          </w:p>
        </w:tc>
        <w:tc>
          <w:tcPr>
            <w:tcW w:w="1234" w:type="dxa"/>
            <w:vAlign w:val="center"/>
          </w:tcPr>
          <w:p w14:paraId="36298686">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lang w:val="en-US" w:eastAsia="zh-CN"/>
              </w:rPr>
            </w:pPr>
            <w:r>
              <w:rPr>
                <w:rFonts w:hint="eastAsia"/>
                <w:b w:val="0"/>
                <w:bCs w:val="0"/>
                <w:color w:val="auto"/>
                <w:highlight w:val="none"/>
                <w:lang w:val="en-US" w:eastAsia="zh-CN"/>
              </w:rPr>
              <w:t>6.仓储能力</w:t>
            </w:r>
          </w:p>
        </w:tc>
        <w:tc>
          <w:tcPr>
            <w:tcW w:w="1347" w:type="dxa"/>
            <w:vAlign w:val="center"/>
          </w:tcPr>
          <w:p w14:paraId="5F88904E">
            <w:pPr>
              <w:keepNext w:val="0"/>
              <w:keepLines w:val="0"/>
              <w:pageBreakBefore w:val="0"/>
              <w:kinsoku/>
              <w:wordWrap/>
              <w:overflowPunct/>
              <w:topLinePunct w:val="0"/>
              <w:bidi w:val="0"/>
              <w:spacing w:line="50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6707" w:type="dxa"/>
            <w:vAlign w:val="center"/>
          </w:tcPr>
          <w:p w14:paraId="07CC0FEA">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1.</w:t>
            </w:r>
            <w:r>
              <w:rPr>
                <w:rFonts w:hint="eastAsia"/>
                <w:b w:val="0"/>
                <w:bCs w:val="0"/>
                <w:color w:val="auto"/>
                <w:highlight w:val="none"/>
                <w:lang w:val="en-US" w:eastAsia="zh-CN"/>
              </w:rPr>
              <w:t>投标人</w:t>
            </w:r>
            <w:r>
              <w:rPr>
                <w:rFonts w:hint="eastAsia"/>
                <w:b w:val="0"/>
                <w:bCs w:val="0"/>
                <w:color w:val="auto"/>
                <w:highlight w:val="none"/>
              </w:rPr>
              <w:t>具有固定的仓储场地并提供了相应证明材料，仓储管理制度完善、科学合理、</w:t>
            </w:r>
            <w:r>
              <w:rPr>
                <w:rFonts w:hint="eastAsia"/>
                <w:b w:val="0"/>
                <w:bCs w:val="0"/>
                <w:color w:val="auto"/>
                <w:highlight w:val="none"/>
                <w:lang w:val="en-US" w:eastAsia="zh-CN"/>
              </w:rPr>
              <w:t>有</w:t>
            </w:r>
            <w:r>
              <w:rPr>
                <w:rFonts w:hint="eastAsia"/>
                <w:b w:val="0"/>
                <w:bCs w:val="0"/>
                <w:color w:val="auto"/>
                <w:highlight w:val="none"/>
              </w:rPr>
              <w:t>可操作性的，得</w:t>
            </w:r>
            <w:r>
              <w:rPr>
                <w:rFonts w:hint="eastAsia"/>
                <w:b w:val="0"/>
                <w:bCs w:val="0"/>
                <w:color w:val="auto"/>
                <w:highlight w:val="none"/>
                <w:lang w:val="en-US" w:eastAsia="zh-CN"/>
              </w:rPr>
              <w:t>6</w:t>
            </w:r>
            <w:r>
              <w:rPr>
                <w:rFonts w:hint="eastAsia"/>
                <w:b w:val="0"/>
                <w:bCs w:val="0"/>
                <w:color w:val="auto"/>
                <w:highlight w:val="none"/>
              </w:rPr>
              <w:t>分；</w:t>
            </w:r>
          </w:p>
          <w:p w14:paraId="3508F986">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2.供应商具有固定的仓储场地并提供了相应证明材料，仓储管理制度较完善、基本合理、有</w:t>
            </w:r>
            <w:r>
              <w:rPr>
                <w:rFonts w:hint="eastAsia"/>
                <w:b w:val="0"/>
                <w:bCs w:val="0"/>
                <w:color w:val="auto"/>
                <w:highlight w:val="none"/>
                <w:lang w:val="en-US" w:eastAsia="zh-CN"/>
              </w:rPr>
              <w:t>一定的</w:t>
            </w:r>
            <w:r>
              <w:rPr>
                <w:rFonts w:hint="eastAsia"/>
                <w:b w:val="0"/>
                <w:bCs w:val="0"/>
                <w:color w:val="auto"/>
                <w:highlight w:val="none"/>
              </w:rPr>
              <w:t>可操作性的，得</w:t>
            </w:r>
            <w:r>
              <w:rPr>
                <w:rFonts w:hint="eastAsia"/>
                <w:b w:val="0"/>
                <w:bCs w:val="0"/>
                <w:color w:val="auto"/>
                <w:highlight w:val="none"/>
                <w:lang w:val="en-US" w:eastAsia="zh-CN"/>
              </w:rPr>
              <w:t>4</w:t>
            </w:r>
            <w:r>
              <w:rPr>
                <w:rFonts w:hint="eastAsia"/>
                <w:b w:val="0"/>
                <w:bCs w:val="0"/>
                <w:color w:val="auto"/>
                <w:highlight w:val="none"/>
              </w:rPr>
              <w:t>分；</w:t>
            </w:r>
          </w:p>
          <w:p w14:paraId="7254E7DD">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3.</w:t>
            </w:r>
            <w:r>
              <w:rPr>
                <w:rFonts w:hint="eastAsia"/>
                <w:b w:val="0"/>
                <w:bCs w:val="0"/>
                <w:color w:val="auto"/>
                <w:highlight w:val="none"/>
                <w:lang w:val="en-US" w:eastAsia="zh-CN"/>
              </w:rPr>
              <w:t>投标人</w:t>
            </w:r>
            <w:r>
              <w:rPr>
                <w:rFonts w:hint="eastAsia"/>
                <w:b w:val="0"/>
                <w:bCs w:val="0"/>
                <w:color w:val="auto"/>
                <w:highlight w:val="none"/>
              </w:rPr>
              <w:t>没有固定的仓储场地，仓储管理制度不完善、不合理、可操作性欠缺的，得</w:t>
            </w:r>
            <w:r>
              <w:rPr>
                <w:rFonts w:hint="eastAsia"/>
                <w:b w:val="0"/>
                <w:bCs w:val="0"/>
                <w:color w:val="auto"/>
                <w:highlight w:val="none"/>
                <w:lang w:val="en-US" w:eastAsia="zh-CN"/>
              </w:rPr>
              <w:t>2</w:t>
            </w:r>
            <w:r>
              <w:rPr>
                <w:rFonts w:hint="eastAsia"/>
                <w:b w:val="0"/>
                <w:bCs w:val="0"/>
                <w:color w:val="auto"/>
                <w:highlight w:val="none"/>
              </w:rPr>
              <w:t>分。</w:t>
            </w:r>
          </w:p>
          <w:p w14:paraId="0AAF81FE">
            <w:pPr>
              <w:pStyle w:val="11"/>
              <w:keepNext w:val="0"/>
              <w:keepLines w:val="0"/>
              <w:pageBreakBefore w:val="0"/>
              <w:kinsoku/>
              <w:wordWrap/>
              <w:overflowPunct/>
              <w:topLinePunct w:val="0"/>
              <w:bidi w:val="0"/>
              <w:spacing w:line="500" w:lineRule="exact"/>
              <w:textAlignment w:val="auto"/>
              <w:rPr>
                <w:rFonts w:hint="eastAsia"/>
                <w:b w:val="0"/>
                <w:bCs w:val="0"/>
                <w:color w:val="auto"/>
                <w:highlight w:val="none"/>
              </w:rPr>
            </w:pPr>
            <w:r>
              <w:rPr>
                <w:rFonts w:hint="eastAsia"/>
                <w:b w:val="0"/>
                <w:bCs w:val="0"/>
                <w:color w:val="auto"/>
                <w:highlight w:val="none"/>
              </w:rPr>
              <w:t>4.未提供此项内容的，得0分。</w:t>
            </w:r>
          </w:p>
        </w:tc>
      </w:tr>
      <w:tr w14:paraId="69E2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2" w:type="dxa"/>
            <w:vMerge w:val="restart"/>
            <w:vAlign w:val="center"/>
          </w:tcPr>
          <w:p w14:paraId="70D69A97">
            <w:pPr>
              <w:keepNext w:val="0"/>
              <w:keepLines w:val="0"/>
              <w:pageBreakBefore w:val="0"/>
              <w:kinsoku/>
              <w:wordWrap/>
              <w:overflowPunct/>
              <w:topLinePunct w:val="0"/>
              <w:bidi w:val="0"/>
              <w:spacing w:line="500" w:lineRule="exact"/>
              <w:jc w:val="center"/>
              <w:textAlignment w:val="auto"/>
              <w:rPr>
                <w:rFonts w:hint="eastAsia" w:ascii="宋体" w:hAnsi="宋体"/>
                <w:bCs/>
                <w:color w:val="auto"/>
                <w:sz w:val="24"/>
                <w:szCs w:val="24"/>
                <w:highlight w:val="none"/>
              </w:rPr>
            </w:pPr>
            <w:r>
              <w:rPr>
                <w:rFonts w:hint="eastAsia" w:ascii="宋体" w:hAnsi="宋体"/>
                <w:bCs/>
                <w:color w:val="auto"/>
                <w:sz w:val="24"/>
                <w:szCs w:val="24"/>
                <w:highlight w:val="none"/>
              </w:rPr>
              <w:t>商</w:t>
            </w:r>
            <w:r>
              <w:rPr>
                <w:rFonts w:hint="eastAsia" w:ascii="宋体" w:hAnsi="宋体" w:cs="宋体"/>
                <w:bCs/>
                <w:color w:val="auto"/>
                <w:sz w:val="24"/>
                <w:szCs w:val="24"/>
                <w:highlight w:val="none"/>
              </w:rPr>
              <w:t>务</w:t>
            </w:r>
            <w:r>
              <w:rPr>
                <w:rFonts w:ascii="宋体" w:hAnsi="宋体"/>
                <w:bCs/>
                <w:color w:val="auto"/>
                <w:sz w:val="24"/>
                <w:szCs w:val="24"/>
                <w:highlight w:val="none"/>
              </w:rPr>
              <w:t>部分</w:t>
            </w:r>
            <w:r>
              <w:rPr>
                <w:rFonts w:hint="eastAsia" w:ascii="宋体" w:hAnsi="宋体" w:cs="宋体"/>
                <w:bCs/>
                <w:color w:val="auto"/>
                <w:sz w:val="24"/>
                <w:highlight w:val="none"/>
              </w:rPr>
              <w:t>评审</w:t>
            </w:r>
          </w:p>
        </w:tc>
        <w:tc>
          <w:tcPr>
            <w:tcW w:w="1234" w:type="dxa"/>
            <w:vAlign w:val="center"/>
          </w:tcPr>
          <w:p w14:paraId="3B260E5F">
            <w:pPr>
              <w:keepNext w:val="0"/>
              <w:keepLines w:val="0"/>
              <w:pageBreakBefore w:val="0"/>
              <w:kinsoku/>
              <w:wordWrap/>
              <w:overflowPunct/>
              <w:topLinePunct w:val="0"/>
              <w:bidi w:val="0"/>
              <w:spacing w:line="500" w:lineRule="exact"/>
              <w:jc w:val="center"/>
              <w:textAlignment w:val="auto"/>
              <w:rPr>
                <w:rFonts w:hint="eastAsia" w:ascii="宋体" w:hAnsi="宋体" w:eastAsia="宋体"/>
                <w:bCs/>
                <w:color w:val="auto"/>
                <w:sz w:val="24"/>
                <w:highlight w:val="none"/>
                <w:lang w:val="en-US" w:eastAsia="zh-CN"/>
              </w:rPr>
            </w:pPr>
            <w:r>
              <w:rPr>
                <w:rFonts w:hint="eastAsia" w:ascii="宋体" w:hAnsi="宋体"/>
                <w:bCs/>
                <w:color w:val="auto"/>
                <w:sz w:val="24"/>
                <w:highlight w:val="none"/>
              </w:rPr>
              <w:t>1</w:t>
            </w:r>
            <w:r>
              <w:rPr>
                <w:rFonts w:hint="eastAsia" w:ascii="宋体" w:hAnsi="宋体"/>
                <w:bCs/>
                <w:color w:val="auto"/>
                <w:sz w:val="24"/>
                <w:highlight w:val="none"/>
                <w:lang w:val="en-US" w:eastAsia="zh-CN"/>
              </w:rPr>
              <w:t>.项目人员保障方案</w:t>
            </w:r>
          </w:p>
        </w:tc>
        <w:tc>
          <w:tcPr>
            <w:tcW w:w="1347" w:type="dxa"/>
            <w:vAlign w:val="center"/>
          </w:tcPr>
          <w:p w14:paraId="369AE10B">
            <w:pPr>
              <w:keepNext w:val="0"/>
              <w:keepLines w:val="0"/>
              <w:pageBreakBefore w:val="0"/>
              <w:kinsoku/>
              <w:wordWrap/>
              <w:overflowPunct/>
              <w:topLinePunct w:val="0"/>
              <w:bidi w:val="0"/>
              <w:spacing w:line="500" w:lineRule="exact"/>
              <w:jc w:val="center"/>
              <w:textAlignment w:val="auto"/>
              <w:rPr>
                <w:rFonts w:hint="eastAsia" w:ascii="宋体" w:hAnsi="宋体"/>
                <w:bCs/>
                <w:color w:val="auto"/>
                <w:sz w:val="24"/>
                <w:highlight w:val="none"/>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rPr>
              <w:t>分</w:t>
            </w:r>
          </w:p>
        </w:tc>
        <w:tc>
          <w:tcPr>
            <w:tcW w:w="6707" w:type="dxa"/>
            <w:vAlign w:val="center"/>
          </w:tcPr>
          <w:p w14:paraId="27C54110">
            <w:pPr>
              <w:pStyle w:val="4"/>
              <w:keepNext w:val="0"/>
              <w:keepLines w:val="0"/>
              <w:pageBreakBefore w:val="0"/>
              <w:kinsoku/>
              <w:wordWrap/>
              <w:overflowPunct/>
              <w:topLinePunct w:val="0"/>
              <w:bidi w:val="0"/>
              <w:spacing w:line="500" w:lineRule="exact"/>
              <w:ind w:firstLine="0" w:firstLineChars="0"/>
              <w:textAlignment w:val="auto"/>
              <w:rPr>
                <w:rFonts w:hint="eastAsia" w:ascii="宋体" w:hAnsi="宋体"/>
                <w:bCs/>
                <w:color w:val="auto"/>
                <w:sz w:val="24"/>
                <w:highlight w:val="none"/>
              </w:rPr>
            </w:pPr>
            <w:r>
              <w:rPr>
                <w:rFonts w:hint="eastAsia" w:ascii="宋体" w:hAnsi="宋体"/>
                <w:bCs/>
                <w:color w:val="auto"/>
                <w:sz w:val="24"/>
                <w:highlight w:val="none"/>
              </w:rPr>
              <w:t>根据投标人提供的项目人员保障方案包括但不限于：①人员配置；②人员岗位职责；③</w:t>
            </w:r>
            <w:r>
              <w:rPr>
                <w:rFonts w:hint="eastAsia" w:ascii="宋体" w:hAnsi="宋体" w:cs="宋体"/>
                <w:bCs/>
                <w:color w:val="auto"/>
                <w:sz w:val="24"/>
                <w:szCs w:val="24"/>
                <w:highlight w:val="none"/>
                <w:lang w:eastAsia="zh-CN"/>
              </w:rPr>
              <w:t>奖惩措施</w:t>
            </w:r>
            <w:r>
              <w:rPr>
                <w:rFonts w:hint="eastAsia" w:ascii="宋体" w:hAnsi="宋体"/>
                <w:bCs/>
                <w:color w:val="auto"/>
                <w:sz w:val="24"/>
                <w:highlight w:val="none"/>
              </w:rPr>
              <w:t>，④</w:t>
            </w:r>
            <w:r>
              <w:rPr>
                <w:rFonts w:hint="eastAsia" w:ascii="宋体" w:hAnsi="宋体" w:cs="宋体"/>
                <w:bCs/>
                <w:color w:val="auto"/>
                <w:sz w:val="24"/>
                <w:szCs w:val="24"/>
                <w:highlight w:val="none"/>
                <w:lang w:val="en-US" w:eastAsia="zh-CN"/>
              </w:rPr>
              <w:t>内部</w:t>
            </w:r>
            <w:r>
              <w:rPr>
                <w:rFonts w:hint="eastAsia" w:ascii="宋体" w:hAnsi="宋体" w:cs="宋体"/>
                <w:bCs/>
                <w:color w:val="auto"/>
                <w:sz w:val="24"/>
                <w:szCs w:val="24"/>
                <w:highlight w:val="none"/>
              </w:rPr>
              <w:t>管理程序</w:t>
            </w:r>
            <w:r>
              <w:rPr>
                <w:rFonts w:hint="eastAsia" w:ascii="宋体" w:hAnsi="宋体"/>
                <w:bCs/>
                <w:color w:val="auto"/>
                <w:sz w:val="24"/>
                <w:highlight w:val="none"/>
              </w:rPr>
              <w:t>4项内容，每项内容</w:t>
            </w:r>
            <w:r>
              <w:rPr>
                <w:rFonts w:hint="eastAsia" w:ascii="宋体" w:hAnsi="宋体"/>
                <w:bCs/>
                <w:color w:val="auto"/>
                <w:sz w:val="24"/>
                <w:highlight w:val="none"/>
                <w:lang w:val="en-US" w:eastAsia="zh-CN"/>
              </w:rPr>
              <w:t>2.5</w:t>
            </w:r>
            <w:r>
              <w:rPr>
                <w:rFonts w:hint="eastAsia" w:ascii="宋体" w:hAnsi="宋体"/>
                <w:bCs/>
                <w:color w:val="auto"/>
                <w:sz w:val="24"/>
                <w:highlight w:val="none"/>
              </w:rPr>
              <w:t>分，满分</w:t>
            </w:r>
            <w:r>
              <w:rPr>
                <w:rFonts w:hint="eastAsia" w:ascii="宋体" w:hAnsi="宋体"/>
                <w:bCs/>
                <w:color w:val="auto"/>
                <w:sz w:val="24"/>
                <w:highlight w:val="none"/>
                <w:lang w:val="en-US" w:eastAsia="zh-CN"/>
              </w:rPr>
              <w:t>10</w:t>
            </w:r>
            <w:r>
              <w:rPr>
                <w:rFonts w:hint="eastAsia" w:ascii="宋体" w:hAnsi="宋体"/>
                <w:bCs/>
                <w:color w:val="auto"/>
                <w:sz w:val="24"/>
                <w:highlight w:val="none"/>
              </w:rPr>
              <w:t>分。</w:t>
            </w:r>
          </w:p>
          <w:p w14:paraId="5188C0D6">
            <w:pPr>
              <w:pStyle w:val="4"/>
              <w:keepNext w:val="0"/>
              <w:keepLines w:val="0"/>
              <w:pageBreakBefore w:val="0"/>
              <w:kinsoku/>
              <w:wordWrap/>
              <w:overflowPunct/>
              <w:topLinePunct w:val="0"/>
              <w:bidi w:val="0"/>
              <w:spacing w:line="500" w:lineRule="exact"/>
              <w:ind w:firstLine="0" w:firstLineChars="0"/>
              <w:textAlignment w:val="auto"/>
              <w:rPr>
                <w:rFonts w:hint="eastAsia" w:ascii="宋体" w:hAnsi="宋体"/>
                <w:bCs/>
                <w:color w:val="auto"/>
                <w:sz w:val="24"/>
                <w:highlight w:val="none"/>
              </w:rPr>
            </w:pPr>
            <w:r>
              <w:rPr>
                <w:rFonts w:hint="eastAsia" w:ascii="宋体" w:hAnsi="宋体"/>
                <w:bCs/>
                <w:color w:val="auto"/>
                <w:sz w:val="24"/>
                <w:highlight w:val="none"/>
              </w:rPr>
              <w:t>(1)每有一项内容全面详细，完全符合项目要求，合理可行，逻辑清晰的，得</w:t>
            </w:r>
            <w:r>
              <w:rPr>
                <w:rFonts w:hint="eastAsia" w:ascii="宋体" w:hAnsi="宋体"/>
                <w:bCs/>
                <w:color w:val="auto"/>
                <w:sz w:val="24"/>
                <w:highlight w:val="none"/>
                <w:lang w:val="en-US" w:eastAsia="zh-CN"/>
              </w:rPr>
              <w:t>2.5</w:t>
            </w:r>
            <w:r>
              <w:rPr>
                <w:rFonts w:hint="eastAsia" w:ascii="宋体" w:hAnsi="宋体"/>
                <w:bCs/>
                <w:color w:val="auto"/>
                <w:sz w:val="24"/>
                <w:highlight w:val="none"/>
              </w:rPr>
              <w:t>分；</w:t>
            </w:r>
          </w:p>
          <w:p w14:paraId="52726355">
            <w:pPr>
              <w:pStyle w:val="4"/>
              <w:keepNext w:val="0"/>
              <w:keepLines w:val="0"/>
              <w:pageBreakBefore w:val="0"/>
              <w:kinsoku/>
              <w:wordWrap/>
              <w:overflowPunct/>
              <w:topLinePunct w:val="0"/>
              <w:bidi w:val="0"/>
              <w:spacing w:line="500" w:lineRule="exact"/>
              <w:ind w:firstLine="0" w:firstLineChars="0"/>
              <w:textAlignment w:val="auto"/>
              <w:rPr>
                <w:rFonts w:hint="eastAsia" w:ascii="宋体" w:hAnsi="宋体"/>
                <w:bCs/>
                <w:color w:val="auto"/>
                <w:sz w:val="24"/>
                <w:highlight w:val="none"/>
              </w:rPr>
            </w:pPr>
            <w:r>
              <w:rPr>
                <w:rFonts w:hint="eastAsia" w:ascii="宋体" w:hAnsi="宋体"/>
                <w:bCs/>
                <w:color w:val="auto"/>
                <w:sz w:val="24"/>
                <w:highlight w:val="none"/>
              </w:rPr>
              <w:t>(2)每有一项内容简单粗略，难以符合项目要求，不合理可行，逻辑模糊的，得</w:t>
            </w:r>
            <w:r>
              <w:rPr>
                <w:rFonts w:hint="eastAsia" w:ascii="宋体" w:hAnsi="宋体"/>
                <w:bCs/>
                <w:color w:val="auto"/>
                <w:sz w:val="24"/>
                <w:highlight w:val="none"/>
                <w:lang w:val="en-US" w:eastAsia="zh-CN"/>
              </w:rPr>
              <w:t>1</w:t>
            </w:r>
            <w:r>
              <w:rPr>
                <w:rFonts w:hint="eastAsia" w:ascii="宋体" w:hAnsi="宋体"/>
                <w:bCs/>
                <w:color w:val="auto"/>
                <w:sz w:val="24"/>
                <w:highlight w:val="none"/>
              </w:rPr>
              <w:t>分；</w:t>
            </w:r>
          </w:p>
          <w:p w14:paraId="5AA45FFD">
            <w:pPr>
              <w:pStyle w:val="4"/>
              <w:keepNext w:val="0"/>
              <w:keepLines w:val="0"/>
              <w:pageBreakBefore w:val="0"/>
              <w:kinsoku/>
              <w:wordWrap/>
              <w:overflowPunct/>
              <w:topLinePunct w:val="0"/>
              <w:bidi w:val="0"/>
              <w:spacing w:line="500" w:lineRule="exact"/>
              <w:ind w:firstLine="0" w:firstLineChars="0"/>
              <w:textAlignment w:val="auto"/>
              <w:rPr>
                <w:rFonts w:hint="eastAsia" w:ascii="宋体" w:hAnsi="宋体"/>
                <w:bCs/>
                <w:color w:val="auto"/>
                <w:sz w:val="24"/>
                <w:highlight w:val="none"/>
              </w:rPr>
            </w:pPr>
            <w:r>
              <w:rPr>
                <w:rFonts w:hint="eastAsia" w:ascii="宋体" w:hAnsi="宋体"/>
                <w:bCs/>
                <w:color w:val="auto"/>
                <w:sz w:val="24"/>
                <w:highlight w:val="none"/>
              </w:rPr>
              <w:t>(3)每有一项内容未提及的得0分。</w:t>
            </w:r>
          </w:p>
        </w:tc>
      </w:tr>
      <w:tr w14:paraId="4576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32" w:type="dxa"/>
            <w:vMerge w:val="continue"/>
            <w:vAlign w:val="center"/>
          </w:tcPr>
          <w:p w14:paraId="1698302A">
            <w:pPr>
              <w:keepNext w:val="0"/>
              <w:keepLines w:val="0"/>
              <w:pageBreakBefore w:val="0"/>
              <w:kinsoku/>
              <w:wordWrap/>
              <w:overflowPunct/>
              <w:topLinePunct w:val="0"/>
              <w:bidi w:val="0"/>
              <w:spacing w:line="500" w:lineRule="exact"/>
              <w:jc w:val="center"/>
              <w:textAlignment w:val="auto"/>
              <w:rPr>
                <w:rFonts w:hint="eastAsia" w:ascii="宋体" w:hAnsi="宋体"/>
                <w:bCs/>
                <w:color w:val="auto"/>
                <w:sz w:val="24"/>
                <w:szCs w:val="24"/>
                <w:highlight w:val="none"/>
              </w:rPr>
            </w:pPr>
          </w:p>
        </w:tc>
        <w:tc>
          <w:tcPr>
            <w:tcW w:w="1234" w:type="dxa"/>
            <w:vAlign w:val="center"/>
          </w:tcPr>
          <w:p w14:paraId="6E5E36CF">
            <w:pPr>
              <w:keepNext w:val="0"/>
              <w:keepLines w:val="0"/>
              <w:pageBreakBefore w:val="0"/>
              <w:kinsoku/>
              <w:wordWrap/>
              <w:overflowPunct/>
              <w:topLinePunct w:val="0"/>
              <w:bidi w:val="0"/>
              <w:spacing w:line="500" w:lineRule="exact"/>
              <w:jc w:val="center"/>
              <w:textAlignment w:val="auto"/>
              <w:rPr>
                <w:rFonts w:hint="eastAsia" w:ascii="宋体" w:hAnsi="宋体"/>
                <w:bCs/>
                <w:color w:val="auto"/>
                <w:sz w:val="24"/>
                <w:highlight w:val="none"/>
              </w:rPr>
            </w:pPr>
            <w:r>
              <w:rPr>
                <w:rFonts w:hint="eastAsia" w:ascii="宋体" w:hAnsi="宋体"/>
                <w:bCs/>
                <w:color w:val="auto"/>
                <w:sz w:val="24"/>
                <w:highlight w:val="none"/>
                <w:lang w:val="en-US" w:eastAsia="zh-CN"/>
              </w:rPr>
              <w:t>2</w:t>
            </w:r>
            <w:r>
              <w:rPr>
                <w:rFonts w:hint="eastAsia" w:ascii="宋体" w:hAnsi="宋体"/>
                <w:bCs/>
                <w:color w:val="auto"/>
                <w:sz w:val="24"/>
                <w:highlight w:val="none"/>
              </w:rPr>
              <w:t>.</w:t>
            </w:r>
            <w:r>
              <w:rPr>
                <w:rFonts w:hint="eastAsia" w:ascii="宋体" w:hAnsi="宋体" w:cs="宋体"/>
                <w:color w:val="auto"/>
                <w:sz w:val="24"/>
                <w:highlight w:val="none"/>
              </w:rPr>
              <w:t>类似业绩</w:t>
            </w:r>
          </w:p>
        </w:tc>
        <w:tc>
          <w:tcPr>
            <w:tcW w:w="1347" w:type="dxa"/>
            <w:vAlign w:val="center"/>
          </w:tcPr>
          <w:p w14:paraId="426835CD">
            <w:pPr>
              <w:keepNext w:val="0"/>
              <w:keepLines w:val="0"/>
              <w:pageBreakBefore w:val="0"/>
              <w:kinsoku/>
              <w:wordWrap/>
              <w:overflowPunct/>
              <w:topLinePunct w:val="0"/>
              <w:bidi w:val="0"/>
              <w:spacing w:line="500" w:lineRule="exact"/>
              <w:jc w:val="center"/>
              <w:textAlignment w:val="auto"/>
              <w:rPr>
                <w:rFonts w:ascii="宋体" w:hAnsi="宋体"/>
                <w:bCs/>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分</w:t>
            </w:r>
          </w:p>
        </w:tc>
        <w:tc>
          <w:tcPr>
            <w:tcW w:w="6707" w:type="dxa"/>
            <w:vAlign w:val="center"/>
          </w:tcPr>
          <w:p w14:paraId="35AF4D32">
            <w:pPr>
              <w:pStyle w:val="4"/>
              <w:keepNext w:val="0"/>
              <w:keepLines w:val="0"/>
              <w:pageBreakBefore w:val="0"/>
              <w:kinsoku/>
              <w:wordWrap/>
              <w:overflowPunct/>
              <w:topLinePunct w:val="0"/>
              <w:bidi w:val="0"/>
              <w:spacing w:line="500" w:lineRule="exact"/>
              <w:ind w:firstLine="0" w:firstLineChars="0"/>
              <w:textAlignment w:val="auto"/>
              <w:rPr>
                <w:rFonts w:hint="eastAsia" w:ascii="宋体" w:hAnsi="宋体"/>
                <w:bCs/>
                <w:color w:val="auto"/>
                <w:sz w:val="24"/>
                <w:highlight w:val="none"/>
              </w:rPr>
            </w:pPr>
            <w:r>
              <w:rPr>
                <w:rFonts w:hint="eastAsia" w:ascii="宋体" w:hAnsi="宋体"/>
                <w:bCs/>
                <w:color w:val="auto"/>
                <w:sz w:val="24"/>
                <w:highlight w:val="none"/>
              </w:rPr>
              <w:t>投标人自2021年1月至今，</w:t>
            </w:r>
            <w:r>
              <w:rPr>
                <w:rFonts w:hint="eastAsia" w:ascii="宋体" w:hAnsi="宋体"/>
                <w:bCs/>
                <w:color w:val="auto"/>
                <w:sz w:val="24"/>
                <w:highlight w:val="none"/>
                <w:lang w:val="en-US" w:eastAsia="zh-CN"/>
              </w:rPr>
              <w:t>每</w:t>
            </w:r>
            <w:r>
              <w:rPr>
                <w:rFonts w:hint="eastAsia" w:ascii="宋体" w:hAnsi="宋体"/>
                <w:bCs/>
                <w:color w:val="auto"/>
                <w:sz w:val="24"/>
                <w:highlight w:val="none"/>
              </w:rPr>
              <w:t>承担1项类似项目业绩的</w:t>
            </w:r>
            <w:r>
              <w:rPr>
                <w:rFonts w:hint="eastAsia" w:ascii="宋体" w:hAnsi="宋体"/>
                <w:bCs/>
                <w:color w:val="auto"/>
                <w:sz w:val="24"/>
                <w:highlight w:val="none"/>
                <w:lang w:eastAsia="zh-CN"/>
              </w:rPr>
              <w:t>，</w:t>
            </w:r>
            <w:r>
              <w:rPr>
                <w:rFonts w:hint="eastAsia" w:ascii="宋体" w:hAnsi="宋体"/>
                <w:bCs/>
                <w:color w:val="auto"/>
                <w:sz w:val="24"/>
                <w:highlight w:val="none"/>
              </w:rPr>
              <w:t>得</w:t>
            </w:r>
            <w:r>
              <w:rPr>
                <w:rFonts w:hint="eastAsia" w:ascii="宋体" w:hAnsi="宋体"/>
                <w:bCs/>
                <w:color w:val="auto"/>
                <w:sz w:val="24"/>
                <w:highlight w:val="none"/>
                <w:lang w:val="en-US" w:eastAsia="zh-CN"/>
              </w:rPr>
              <w:t>2.5</w:t>
            </w:r>
            <w:r>
              <w:rPr>
                <w:rFonts w:hint="eastAsia" w:ascii="宋体" w:hAnsi="宋体"/>
                <w:bCs/>
                <w:color w:val="auto"/>
                <w:sz w:val="24"/>
                <w:highlight w:val="none"/>
              </w:rPr>
              <w:t>分</w:t>
            </w:r>
            <w:r>
              <w:rPr>
                <w:rFonts w:hint="eastAsia" w:ascii="宋体" w:hAnsi="宋体"/>
                <w:bCs/>
                <w:color w:val="auto"/>
                <w:sz w:val="24"/>
                <w:highlight w:val="none"/>
                <w:lang w:val="en-US" w:eastAsia="zh-CN"/>
              </w:rPr>
              <w:t>，最高得5</w:t>
            </w:r>
            <w:r>
              <w:rPr>
                <w:rFonts w:hint="eastAsia" w:ascii="宋体" w:hAnsi="宋体"/>
                <w:bCs/>
                <w:color w:val="auto"/>
                <w:sz w:val="24"/>
                <w:highlight w:val="none"/>
              </w:rPr>
              <w:t>分。</w:t>
            </w:r>
          </w:p>
          <w:p w14:paraId="2337368D">
            <w:pPr>
              <w:pStyle w:val="4"/>
              <w:keepNext w:val="0"/>
              <w:keepLines w:val="0"/>
              <w:pageBreakBefore w:val="0"/>
              <w:kinsoku/>
              <w:wordWrap/>
              <w:overflowPunct/>
              <w:topLinePunct w:val="0"/>
              <w:bidi w:val="0"/>
              <w:spacing w:line="500" w:lineRule="exact"/>
              <w:ind w:firstLine="0" w:firstLineChars="0"/>
              <w:textAlignment w:val="auto"/>
              <w:rPr>
                <w:rFonts w:hint="eastAsia" w:ascii="宋体" w:hAnsi="宋体"/>
                <w:bCs/>
                <w:color w:val="auto"/>
                <w:sz w:val="24"/>
                <w:highlight w:val="none"/>
              </w:rPr>
            </w:pPr>
            <w:r>
              <w:rPr>
                <w:rFonts w:hint="eastAsia" w:ascii="宋体" w:hAnsi="宋体" w:cs="宋体"/>
                <w:b/>
                <w:bCs/>
                <w:color w:val="auto"/>
                <w:sz w:val="24"/>
                <w:szCs w:val="24"/>
                <w:highlight w:val="none"/>
              </w:rPr>
              <w:t>备注：投标人提供合同或中标(成交)通知书。</w:t>
            </w:r>
          </w:p>
        </w:tc>
      </w:tr>
    </w:tbl>
    <w:p w14:paraId="080F96F6">
      <w:pPr>
        <w:spacing w:line="5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(四)得分汇总</w:t>
      </w:r>
    </w:p>
    <w:p w14:paraId="11BDA247">
      <w:pPr>
        <w:pStyle w:val="13"/>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1.评委应首先对各投标人投标文件进行评审，写出书面意见并按招标文件规定分值评分，各分档评分中间不得用插入法评分。</w:t>
      </w:r>
    </w:p>
    <w:p w14:paraId="51533717">
      <w:pPr>
        <w:pStyle w:val="13"/>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2.除投标价格得分外，其余部分由各评委自主评分并签字确认。</w:t>
      </w:r>
    </w:p>
    <w:p w14:paraId="24A10327">
      <w:pPr>
        <w:pStyle w:val="13"/>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3.统分原则：计算评委打分的算术平均值为投标人的该项评分因素的得分，投标报价得分除外(保留小数点后两位)。</w:t>
      </w:r>
    </w:p>
    <w:p w14:paraId="68F9480C">
      <w:pPr>
        <w:pStyle w:val="13"/>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4.得分汇总：各项评分因素得分的总和即为投标人最后得分。</w:t>
      </w:r>
    </w:p>
    <w:p w14:paraId="53AD46C2">
      <w:pPr>
        <w:pStyle w:val="13"/>
        <w:spacing w:line="48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5.经评标委员会认定评分畸高、畸低的，评标委员会应当当场修改评标结果，并在评标报告中记载。</w:t>
      </w:r>
    </w:p>
    <w:p w14:paraId="58B26ABB">
      <w:pPr>
        <w:spacing w:before="72" w:beforeLines="30" w:after="72" w:afterLines="30" w:line="5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七、推荐</w:t>
      </w:r>
    </w:p>
    <w:p w14:paraId="264EC1F8">
      <w:pPr>
        <w:autoSpaceDE w:val="0"/>
        <w:autoSpaceDN w:val="0"/>
        <w:spacing w:line="460" w:lineRule="exact"/>
        <w:ind w:firstLine="480" w:firstLineChars="200"/>
        <w:rPr>
          <w:rFonts w:hint="eastAsia" w:ascii="宋体" w:hAnsi="宋体"/>
          <w:color w:val="auto"/>
          <w:sz w:val="24"/>
          <w:szCs w:val="24"/>
          <w:highlight w:val="none"/>
        </w:rPr>
      </w:pPr>
      <w:r>
        <w:rPr>
          <w:rFonts w:hint="eastAsia" w:ascii="宋体" w:hAnsi="宋体" w:cs="宋体"/>
          <w:color w:val="auto"/>
          <w:sz w:val="24"/>
          <w:szCs w:val="24"/>
          <w:highlight w:val="none"/>
        </w:rPr>
        <w:t>评标委员会按得分汇总计算出各投标人的总得分，评标结果按评审后总得分由高到低顺序排列。投标文件满足招标文件全部实质性要求，且按照评审因素的量化指标评审总得分最高的投标人为排名第一的中标候选人。</w:t>
      </w:r>
      <w:r>
        <w:rPr>
          <w:rFonts w:hint="eastAsia" w:ascii="宋体" w:hAnsi="宋体"/>
          <w:color w:val="auto"/>
          <w:sz w:val="24"/>
          <w:szCs w:val="24"/>
          <w:highlight w:val="none"/>
        </w:rPr>
        <w:t>总得分相同的，按投标报价由低到高</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即：下浮率由高到低</w:t>
      </w:r>
      <w:r>
        <w:rPr>
          <w:rFonts w:hint="eastAsia" w:ascii="宋体" w:hAnsi="宋体"/>
          <w:color w:val="auto"/>
          <w:sz w:val="24"/>
          <w:szCs w:val="24"/>
          <w:highlight w:val="none"/>
          <w:lang w:eastAsia="zh-CN"/>
        </w:rPr>
        <w:t>）</w:t>
      </w:r>
      <w:r>
        <w:rPr>
          <w:rFonts w:hint="eastAsia" w:ascii="宋体" w:hAnsi="宋体"/>
          <w:color w:val="auto"/>
          <w:sz w:val="24"/>
          <w:szCs w:val="24"/>
          <w:highlight w:val="none"/>
        </w:rPr>
        <w:t>顺序排列。得分且投标报价相同的，若存在节能环保产品参与投标，根据《中华人民共和国政府采购法》《中华人民共和国政府采购法实施条例》《政府采购货物和服务招标投标管理办法》(财政部令第87号)的规定，优先采购节能环保产品。</w:t>
      </w:r>
    </w:p>
    <w:p w14:paraId="700CBAC4">
      <w:pPr>
        <w:autoSpaceDE w:val="0"/>
        <w:autoSpaceDN w:val="0"/>
        <w:spacing w:line="460" w:lineRule="exact"/>
        <w:ind w:firstLine="480" w:firstLineChars="200"/>
        <w:rPr>
          <w:rFonts w:hint="eastAsia" w:ascii="宋体" w:hAnsi="宋体"/>
          <w:color w:val="auto"/>
          <w:sz w:val="24"/>
          <w:szCs w:val="24"/>
          <w:highlight w:val="none"/>
        </w:rPr>
      </w:pPr>
      <w:r>
        <w:rPr>
          <w:rFonts w:hint="eastAsia" w:ascii="宋体" w:hAnsi="宋体" w:cs="宋体"/>
          <w:color w:val="auto"/>
          <w:sz w:val="24"/>
          <w:szCs w:val="24"/>
          <w:highlight w:val="none"/>
        </w:rPr>
        <w:t>若不存在节能环保产品参与投标，</w:t>
      </w:r>
      <w:r>
        <w:rPr>
          <w:rFonts w:hint="eastAsia" w:ascii="宋体" w:hAnsi="宋体"/>
          <w:color w:val="auto"/>
          <w:sz w:val="24"/>
          <w:szCs w:val="24"/>
          <w:highlight w:val="none"/>
        </w:rPr>
        <w:t>按</w:t>
      </w:r>
      <w:r>
        <w:rPr>
          <w:rFonts w:hint="eastAsia" w:ascii="宋体" w:hAnsi="宋体" w:cs="宋体"/>
          <w:color w:val="auto"/>
          <w:spacing w:val="6"/>
          <w:sz w:val="24"/>
          <w:szCs w:val="24"/>
          <w:highlight w:val="none"/>
        </w:rPr>
        <w:t>技术部分评审</w:t>
      </w:r>
      <w:r>
        <w:rPr>
          <w:rFonts w:hint="eastAsia" w:ascii="宋体" w:hAnsi="宋体"/>
          <w:color w:val="auto"/>
          <w:sz w:val="24"/>
          <w:szCs w:val="24"/>
          <w:highlight w:val="none"/>
        </w:rPr>
        <w:t>得分由高到低的顺序排列，依次类推。</w:t>
      </w:r>
    </w:p>
    <w:p w14:paraId="5AE50005">
      <w:pPr>
        <w:spacing w:before="72" w:beforeLines="30" w:after="72" w:afterLines="30" w:line="50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八、评标报告编写</w:t>
      </w:r>
    </w:p>
    <w:p w14:paraId="78880828">
      <w:pPr>
        <w:autoSpaceDE w:val="0"/>
        <w:autoSpaceDN w:val="0"/>
        <w:spacing w:line="460" w:lineRule="exact"/>
        <w:ind w:firstLine="480" w:firstLineChars="200"/>
        <w:rPr>
          <w:rStyle w:val="56"/>
          <w:rFonts w:hint="eastAsia" w:ascii="宋体" w:hAnsi="宋体" w:cs="宋体"/>
          <w:b w:val="0"/>
          <w:bCs w:val="0"/>
          <w:color w:val="auto"/>
          <w:highlight w:val="none"/>
        </w:rPr>
      </w:pPr>
      <w:r>
        <w:rPr>
          <w:rFonts w:hint="eastAsia" w:ascii="宋体" w:hAnsi="宋体" w:cs="宋体"/>
          <w:color w:val="auto"/>
          <w:sz w:val="24"/>
          <w:szCs w:val="24"/>
          <w:highlight w:val="none"/>
        </w:rPr>
        <w:t>评标委员会根据全体评标成员签字的原始评标记录和评标结果编写评标报告。</w:t>
      </w:r>
      <w:bookmarkStart w:id="202" w:name="_Toc21476"/>
      <w:bookmarkEnd w:id="202"/>
      <w:bookmarkStart w:id="203" w:name="_Toc8239"/>
      <w:bookmarkEnd w:id="203"/>
      <w:bookmarkStart w:id="204" w:name="_Toc21906"/>
      <w:r>
        <w:rPr>
          <w:rStyle w:val="56"/>
          <w:rFonts w:hint="eastAsia" w:ascii="宋体" w:hAnsi="宋体" w:cs="宋体"/>
          <w:b w:val="0"/>
          <w:bCs w:val="0"/>
          <w:color w:val="auto"/>
          <w:highlight w:val="none"/>
        </w:rPr>
        <w:br w:type="page"/>
      </w:r>
    </w:p>
    <w:bookmarkEnd w:id="204"/>
    <w:p w14:paraId="3E48B69D">
      <w:pPr>
        <w:pStyle w:val="2"/>
        <w:spacing w:before="0" w:after="0" w:line="360" w:lineRule="auto"/>
        <w:jc w:val="center"/>
        <w:rPr>
          <w:rFonts w:hint="eastAsia" w:ascii="宋体" w:hAnsi="宋体" w:cs="宋体"/>
          <w:color w:val="auto"/>
          <w:highlight w:val="none"/>
        </w:rPr>
      </w:pPr>
      <w:bookmarkStart w:id="205" w:name="_Toc23219"/>
      <w:bookmarkStart w:id="206" w:name="_Toc15431"/>
      <w:r>
        <w:rPr>
          <w:rFonts w:hint="eastAsia" w:ascii="宋体" w:hAnsi="宋体" w:cs="宋体"/>
          <w:color w:val="auto"/>
          <w:highlight w:val="none"/>
        </w:rPr>
        <w:t>第五章 合同条款及格式</w:t>
      </w:r>
      <w:bookmarkEnd w:id="205"/>
      <w:bookmarkEnd w:id="206"/>
    </w:p>
    <w:p w14:paraId="5916C881">
      <w:pPr>
        <w:jc w:val="center"/>
        <w:rPr>
          <w:rFonts w:hint="eastAsia" w:ascii="宋体" w:hAnsi="宋体" w:eastAsia="宋体" w:cs="宋体"/>
          <w:b w:val="0"/>
          <w:bCs w:val="0"/>
          <w:color w:val="auto"/>
          <w:sz w:val="24"/>
          <w:szCs w:val="24"/>
          <w:highlight w:val="none"/>
        </w:rPr>
      </w:pPr>
      <w:bookmarkStart w:id="207" w:name="_Toc8577"/>
      <w:r>
        <w:rPr>
          <w:rFonts w:hint="eastAsia" w:ascii="宋体" w:hAnsi="宋体" w:eastAsia="宋体" w:cs="宋体"/>
          <w:b w:val="0"/>
          <w:bCs w:val="0"/>
          <w:color w:val="auto"/>
          <w:sz w:val="24"/>
          <w:szCs w:val="24"/>
          <w:highlight w:val="none"/>
        </w:rPr>
        <w:t>(具体合同内容以签订合同时甲乙双方商定为准)</w:t>
      </w:r>
    </w:p>
    <w:p w14:paraId="11B8BECF">
      <w:pPr>
        <w:rPr>
          <w:rFonts w:hint="eastAsia" w:ascii="宋体" w:hAnsi="宋体" w:eastAsia="宋体" w:cs="宋体"/>
          <w:color w:val="auto"/>
          <w:sz w:val="24"/>
          <w:szCs w:val="24"/>
          <w:highlight w:val="none"/>
        </w:rPr>
      </w:pPr>
    </w:p>
    <w:p w14:paraId="3F171F45">
      <w:pPr>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合同编号：</w:t>
      </w:r>
      <w:r>
        <w:rPr>
          <w:rFonts w:hint="eastAsia" w:ascii="宋体" w:hAnsi="宋体" w:eastAsia="宋体" w:cs="宋体"/>
          <w:color w:val="auto"/>
          <w:sz w:val="24"/>
          <w:szCs w:val="24"/>
          <w:highlight w:val="none"/>
          <w:u w:val="single"/>
        </w:rPr>
        <w:t xml:space="preserve">           </w:t>
      </w:r>
    </w:p>
    <w:p w14:paraId="268F3E2E">
      <w:pPr>
        <w:spacing w:line="480" w:lineRule="auto"/>
        <w:jc w:val="center"/>
        <w:rPr>
          <w:rFonts w:hint="eastAsia" w:ascii="宋体" w:hAnsi="宋体" w:eastAsia="宋体" w:cs="宋体"/>
          <w:b/>
          <w:color w:val="auto"/>
          <w:sz w:val="24"/>
          <w:szCs w:val="24"/>
          <w:highlight w:val="none"/>
        </w:rPr>
      </w:pPr>
    </w:p>
    <w:p w14:paraId="1134492D">
      <w:pPr>
        <w:spacing w:line="480" w:lineRule="auto"/>
        <w:jc w:val="center"/>
        <w:rPr>
          <w:rFonts w:hint="eastAsia" w:ascii="宋体" w:hAnsi="宋体" w:eastAsia="宋体" w:cs="宋体"/>
          <w:b/>
          <w:color w:val="auto"/>
          <w:sz w:val="24"/>
          <w:szCs w:val="24"/>
          <w:highlight w:val="none"/>
        </w:rPr>
      </w:pPr>
    </w:p>
    <w:p w14:paraId="33C79FB2">
      <w:pPr>
        <w:spacing w:line="480" w:lineRule="auto"/>
        <w:jc w:val="center"/>
        <w:rPr>
          <w:rFonts w:hint="eastAsia" w:ascii="宋体" w:hAnsi="宋体" w:eastAsia="宋体" w:cs="宋体"/>
          <w:b/>
          <w:color w:val="auto"/>
          <w:sz w:val="24"/>
          <w:szCs w:val="24"/>
          <w:highlight w:val="none"/>
        </w:rPr>
      </w:pPr>
    </w:p>
    <w:p w14:paraId="33FAA1DF">
      <w:pPr>
        <w:spacing w:line="48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政府采购合同</w:t>
      </w:r>
    </w:p>
    <w:p w14:paraId="0F827D42">
      <w:pPr>
        <w:pStyle w:val="60"/>
        <w:ind w:firstLine="0"/>
        <w:rPr>
          <w:rFonts w:hint="eastAsia" w:ascii="宋体" w:hAnsi="宋体" w:eastAsia="宋体" w:cs="宋体"/>
          <w:color w:val="auto"/>
          <w:sz w:val="24"/>
          <w:szCs w:val="24"/>
          <w:highlight w:val="none"/>
        </w:rPr>
      </w:pPr>
    </w:p>
    <w:p w14:paraId="7DB1904C">
      <w:pPr>
        <w:pStyle w:val="60"/>
        <w:ind w:firstLine="0"/>
        <w:rPr>
          <w:rFonts w:hint="eastAsia" w:ascii="宋体" w:hAnsi="宋体" w:eastAsia="宋体" w:cs="宋体"/>
          <w:color w:val="auto"/>
          <w:sz w:val="24"/>
          <w:szCs w:val="24"/>
          <w:highlight w:val="none"/>
        </w:rPr>
      </w:pPr>
    </w:p>
    <w:p w14:paraId="243BDDAA">
      <w:pPr>
        <w:pStyle w:val="60"/>
        <w:ind w:firstLine="0"/>
        <w:rPr>
          <w:rFonts w:hint="eastAsia" w:ascii="宋体" w:hAnsi="宋体" w:eastAsia="宋体" w:cs="宋体"/>
          <w:color w:val="auto"/>
          <w:sz w:val="24"/>
          <w:szCs w:val="24"/>
          <w:highlight w:val="none"/>
        </w:rPr>
      </w:pPr>
    </w:p>
    <w:p w14:paraId="79CC2BF8">
      <w:pPr>
        <w:pStyle w:val="60"/>
        <w:ind w:firstLine="0"/>
        <w:rPr>
          <w:rFonts w:hint="eastAsia" w:ascii="宋体" w:hAnsi="宋体" w:eastAsia="宋体" w:cs="宋体"/>
          <w:color w:val="auto"/>
          <w:sz w:val="24"/>
          <w:szCs w:val="24"/>
          <w:highlight w:val="none"/>
        </w:rPr>
      </w:pPr>
    </w:p>
    <w:p w14:paraId="13B7D8B1">
      <w:pPr>
        <w:pStyle w:val="60"/>
        <w:ind w:firstLine="0"/>
        <w:rPr>
          <w:rFonts w:hint="eastAsia" w:ascii="宋体" w:hAnsi="宋体" w:eastAsia="宋体" w:cs="宋体"/>
          <w:color w:val="auto"/>
          <w:sz w:val="24"/>
          <w:szCs w:val="24"/>
          <w:highlight w:val="none"/>
        </w:rPr>
      </w:pPr>
    </w:p>
    <w:p w14:paraId="5E698E1F">
      <w:pPr>
        <w:pStyle w:val="60"/>
        <w:ind w:firstLine="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第一部分 合同书</w:t>
      </w:r>
    </w:p>
    <w:p w14:paraId="76BAA1F3">
      <w:pPr>
        <w:pStyle w:val="60"/>
        <w:ind w:firstLine="0"/>
        <w:rPr>
          <w:rFonts w:hint="eastAsia" w:ascii="宋体" w:hAnsi="宋体" w:eastAsia="宋体" w:cs="宋体"/>
          <w:color w:val="auto"/>
          <w:sz w:val="24"/>
          <w:szCs w:val="24"/>
          <w:highlight w:val="none"/>
        </w:rPr>
      </w:pPr>
    </w:p>
    <w:p w14:paraId="004176E7">
      <w:pPr>
        <w:pStyle w:val="60"/>
        <w:ind w:firstLine="0"/>
        <w:rPr>
          <w:rFonts w:hint="eastAsia" w:ascii="宋体" w:hAnsi="宋体" w:eastAsia="宋体" w:cs="宋体"/>
          <w:color w:val="auto"/>
          <w:sz w:val="24"/>
          <w:szCs w:val="24"/>
          <w:highlight w:val="none"/>
        </w:rPr>
      </w:pPr>
    </w:p>
    <w:p w14:paraId="42B31558">
      <w:pPr>
        <w:spacing w:before="120" w:line="22" w:lineRule="atLeast"/>
        <w:rPr>
          <w:rFonts w:hint="eastAsia" w:ascii="宋体" w:hAnsi="宋体" w:eastAsia="宋体" w:cs="宋体"/>
          <w:color w:val="auto"/>
          <w:sz w:val="24"/>
          <w:szCs w:val="24"/>
          <w:highlight w:val="none"/>
        </w:rPr>
      </w:pPr>
    </w:p>
    <w:p w14:paraId="42A0F46B">
      <w:pPr>
        <w:spacing w:before="120" w:line="22" w:lineRule="atLeast"/>
        <w:ind w:left="9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rPr>
        <w:t xml:space="preserve">                                   </w:t>
      </w:r>
    </w:p>
    <w:p w14:paraId="672E120A">
      <w:pPr>
        <w:pStyle w:val="61"/>
        <w:spacing w:before="120" w:line="22" w:lineRule="atLeast"/>
        <w:rPr>
          <w:rFonts w:hint="eastAsia" w:ascii="宋体" w:hAnsi="宋体" w:eastAsia="宋体" w:cs="宋体"/>
          <w:color w:val="auto"/>
          <w:sz w:val="24"/>
          <w:szCs w:val="24"/>
          <w:highlight w:val="none"/>
        </w:rPr>
      </w:pPr>
    </w:p>
    <w:p w14:paraId="1B4293EB">
      <w:pPr>
        <w:pStyle w:val="61"/>
        <w:spacing w:before="120" w:line="22" w:lineRule="atLeast"/>
        <w:rPr>
          <w:rFonts w:hint="eastAsia" w:ascii="宋体" w:hAnsi="宋体" w:eastAsia="宋体" w:cs="宋体"/>
          <w:color w:val="auto"/>
          <w:sz w:val="24"/>
          <w:szCs w:val="24"/>
          <w:highlight w:val="none"/>
        </w:rPr>
      </w:pPr>
    </w:p>
    <w:p w14:paraId="55E64506">
      <w:pPr>
        <w:rPr>
          <w:rFonts w:hint="eastAsia" w:ascii="宋体" w:hAnsi="宋体" w:eastAsia="宋体" w:cs="宋体"/>
          <w:color w:val="auto"/>
          <w:sz w:val="24"/>
          <w:szCs w:val="24"/>
          <w:highlight w:val="none"/>
        </w:rPr>
      </w:pPr>
    </w:p>
    <w:p w14:paraId="22DA9078">
      <w:pPr>
        <w:spacing w:before="120" w:line="22" w:lineRule="atLeast"/>
        <w:ind w:left="96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u w:val="single"/>
        </w:rPr>
        <w:t xml:space="preserve">                                       </w:t>
      </w:r>
    </w:p>
    <w:p w14:paraId="3051652D">
      <w:pPr>
        <w:spacing w:before="120" w:line="22" w:lineRule="atLeast"/>
        <w:rPr>
          <w:rFonts w:hint="eastAsia" w:ascii="宋体" w:hAnsi="宋体" w:eastAsia="宋体" w:cs="宋体"/>
          <w:color w:val="auto"/>
          <w:sz w:val="24"/>
          <w:szCs w:val="24"/>
          <w:highlight w:val="none"/>
        </w:rPr>
      </w:pPr>
    </w:p>
    <w:p w14:paraId="0692D6C9">
      <w:pPr>
        <w:spacing w:before="120" w:line="22" w:lineRule="atLeast"/>
        <w:ind w:left="96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u w:val="single"/>
        </w:rPr>
        <w:t xml:space="preserve">                                       </w:t>
      </w:r>
    </w:p>
    <w:p w14:paraId="4CA4E955">
      <w:pPr>
        <w:spacing w:before="120" w:line="22" w:lineRule="atLeast"/>
        <w:rPr>
          <w:rFonts w:hint="eastAsia" w:ascii="宋体" w:hAnsi="宋体" w:eastAsia="宋体" w:cs="宋体"/>
          <w:color w:val="auto"/>
          <w:sz w:val="24"/>
          <w:szCs w:val="24"/>
          <w:highlight w:val="none"/>
        </w:rPr>
      </w:pPr>
    </w:p>
    <w:p w14:paraId="3F6DFDEC">
      <w:pPr>
        <w:spacing w:before="120" w:line="22" w:lineRule="atLeast"/>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签订地：</w:t>
      </w:r>
      <w:r>
        <w:rPr>
          <w:rFonts w:hint="eastAsia" w:ascii="宋体" w:hAnsi="宋体" w:eastAsia="宋体" w:cs="宋体"/>
          <w:color w:val="auto"/>
          <w:sz w:val="24"/>
          <w:szCs w:val="24"/>
          <w:highlight w:val="none"/>
          <w:u w:val="single"/>
        </w:rPr>
        <w:t xml:space="preserve">                                     </w:t>
      </w:r>
    </w:p>
    <w:p w14:paraId="62ACFC07">
      <w:pPr>
        <w:spacing w:before="120" w:line="22" w:lineRule="atLeast"/>
        <w:rPr>
          <w:rFonts w:hint="eastAsia" w:ascii="宋体" w:hAnsi="宋体" w:eastAsia="宋体" w:cs="宋体"/>
          <w:color w:val="auto"/>
          <w:sz w:val="24"/>
          <w:szCs w:val="24"/>
          <w:highlight w:val="none"/>
        </w:rPr>
      </w:pPr>
    </w:p>
    <w:p w14:paraId="1D2F8897">
      <w:pPr>
        <w:spacing w:before="120" w:line="22" w:lineRule="atLeast"/>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9337689">
      <w:pPr>
        <w:spacing w:before="120" w:line="22" w:lineRule="atLeast"/>
        <w:ind w:firstLine="960" w:firstLineChars="400"/>
        <w:rPr>
          <w:rFonts w:hint="eastAsia" w:ascii="宋体" w:hAnsi="宋体" w:eastAsia="宋体" w:cs="宋体"/>
          <w:color w:val="auto"/>
          <w:sz w:val="24"/>
          <w:szCs w:val="24"/>
          <w:highlight w:val="none"/>
          <w:u w:val="single"/>
        </w:rPr>
      </w:pPr>
    </w:p>
    <w:p w14:paraId="396B4E1E">
      <w:pPr>
        <w:autoSpaceDE w:val="0"/>
        <w:autoSpaceDN w:val="0"/>
        <w:adjustRightInd w:val="0"/>
        <w:spacing w:line="600" w:lineRule="exact"/>
        <w:ind w:firstLine="640"/>
        <w:jc w:val="center"/>
        <w:rPr>
          <w:rFonts w:hint="eastAsia" w:ascii="宋体" w:hAnsi="宋体" w:eastAsia="宋体" w:cs="宋体"/>
          <w:color w:val="auto"/>
          <w:sz w:val="24"/>
          <w:szCs w:val="24"/>
          <w:highlight w:val="none"/>
        </w:rPr>
        <w:sectPr>
          <w:headerReference r:id="rId10" w:type="default"/>
          <w:footerReference r:id="rId11" w:type="default"/>
          <w:pgSz w:w="11906" w:h="16838"/>
          <w:pgMar w:top="1440" w:right="1083" w:bottom="1440" w:left="1083" w:header="720" w:footer="720" w:gutter="0"/>
          <w:pgNumType w:fmt="decimal" w:start="1"/>
          <w:cols w:space="720" w:num="1"/>
          <w:rtlGutter w:val="0"/>
          <w:docGrid w:linePitch="462" w:charSpace="0"/>
        </w:sectPr>
      </w:pPr>
    </w:p>
    <w:p w14:paraId="238A3A75">
      <w:pPr>
        <w:spacing w:line="360" w:lineRule="auto"/>
        <w:ind w:firstLine="800" w:firstLineChars="200"/>
        <w:jc w:val="center"/>
        <w:rPr>
          <w:rFonts w:hint="eastAsia" w:ascii="宋体" w:hAnsi="宋体" w:eastAsia="宋体" w:cs="Times New Roman"/>
          <w:color w:val="auto"/>
          <w:sz w:val="40"/>
          <w:szCs w:val="32"/>
          <w:highlight w:val="none"/>
        </w:rPr>
      </w:pPr>
      <w:bookmarkStart w:id="208" w:name="_Toc213141091"/>
      <w:bookmarkStart w:id="209" w:name="_Toc34163779"/>
      <w:r>
        <w:rPr>
          <w:rFonts w:hint="eastAsia" w:ascii="宋体" w:hAnsi="宋体" w:eastAsia="宋体" w:cs="Times New Roman"/>
          <w:color w:val="auto"/>
          <w:sz w:val="40"/>
          <w:szCs w:val="32"/>
          <w:highlight w:val="none"/>
        </w:rPr>
        <w:t>合同条款前附表</w:t>
      </w:r>
      <w:bookmarkEnd w:id="208"/>
      <w:bookmarkEnd w:id="209"/>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7819"/>
      </w:tblGrid>
      <w:tr w14:paraId="020A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22" w:type="dxa"/>
            <w:noWrap w:val="0"/>
            <w:vAlign w:val="center"/>
          </w:tcPr>
          <w:p w14:paraId="618A24D1">
            <w:pPr>
              <w:pStyle w:val="16"/>
              <w:ind w:firstLine="241" w:firstLineChars="100"/>
              <w:rPr>
                <w:rFonts w:hAnsi="宋体"/>
                <w:b/>
                <w:bCs/>
                <w:color w:val="auto"/>
                <w:sz w:val="24"/>
                <w:szCs w:val="24"/>
                <w:highlight w:val="none"/>
              </w:rPr>
            </w:pPr>
            <w:r>
              <w:rPr>
                <w:rFonts w:hint="eastAsia" w:hAnsi="宋体"/>
                <w:b/>
                <w:bCs/>
                <w:color w:val="auto"/>
                <w:sz w:val="24"/>
                <w:szCs w:val="24"/>
                <w:highlight w:val="none"/>
              </w:rPr>
              <w:t>序号</w:t>
            </w:r>
          </w:p>
        </w:tc>
        <w:tc>
          <w:tcPr>
            <w:tcW w:w="7819" w:type="dxa"/>
            <w:noWrap w:val="0"/>
            <w:vAlign w:val="center"/>
          </w:tcPr>
          <w:p w14:paraId="73A5181E">
            <w:pPr>
              <w:pStyle w:val="16"/>
              <w:ind w:firstLine="241" w:firstLineChars="100"/>
              <w:jc w:val="center"/>
              <w:rPr>
                <w:rFonts w:hAnsi="宋体"/>
                <w:b/>
                <w:bCs/>
                <w:color w:val="auto"/>
                <w:sz w:val="24"/>
                <w:szCs w:val="24"/>
                <w:highlight w:val="none"/>
              </w:rPr>
            </w:pPr>
            <w:r>
              <w:rPr>
                <w:rFonts w:hint="eastAsia" w:hAnsi="宋体"/>
                <w:b/>
                <w:bCs/>
                <w:color w:val="auto"/>
                <w:sz w:val="24"/>
                <w:szCs w:val="24"/>
                <w:highlight w:val="none"/>
              </w:rPr>
              <w:t>内容</w:t>
            </w:r>
          </w:p>
        </w:tc>
      </w:tr>
      <w:tr w14:paraId="2838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1122" w:type="dxa"/>
            <w:noWrap w:val="0"/>
            <w:vAlign w:val="center"/>
          </w:tcPr>
          <w:p w14:paraId="43A47717">
            <w:pPr>
              <w:pStyle w:val="16"/>
              <w:spacing w:line="360" w:lineRule="auto"/>
              <w:jc w:val="center"/>
              <w:rPr>
                <w:rFonts w:hAnsi="宋体"/>
                <w:color w:val="auto"/>
                <w:sz w:val="24"/>
                <w:szCs w:val="24"/>
                <w:highlight w:val="none"/>
              </w:rPr>
            </w:pPr>
            <w:r>
              <w:rPr>
                <w:rFonts w:hint="eastAsia" w:hAnsi="宋体"/>
                <w:color w:val="auto"/>
                <w:sz w:val="24"/>
                <w:szCs w:val="24"/>
                <w:highlight w:val="none"/>
              </w:rPr>
              <w:t>1</w:t>
            </w:r>
          </w:p>
        </w:tc>
        <w:tc>
          <w:tcPr>
            <w:tcW w:w="7819" w:type="dxa"/>
            <w:noWrap w:val="0"/>
            <w:vAlign w:val="center"/>
          </w:tcPr>
          <w:p w14:paraId="4FED1803">
            <w:pPr>
              <w:pStyle w:val="11"/>
              <w:spacing w:after="0" w:line="360" w:lineRule="auto"/>
              <w:jc w:val="left"/>
              <w:rPr>
                <w:rFonts w:hint="eastAsia" w:ascii="宋体" w:hAnsi="宋体" w:cs="等线"/>
                <w:b/>
                <w:bCs/>
                <w:color w:val="auto"/>
                <w:sz w:val="24"/>
                <w:highlight w:val="none"/>
              </w:rPr>
            </w:pPr>
            <w:r>
              <w:rPr>
                <w:rFonts w:hint="eastAsia" w:ascii="宋体" w:hAnsi="宋体" w:cs="等线"/>
                <w:b/>
                <w:bCs/>
                <w:color w:val="auto"/>
                <w:sz w:val="24"/>
                <w:highlight w:val="none"/>
              </w:rPr>
              <w:t>交货期：接采购人通知后12小时内完成配送。</w:t>
            </w:r>
          </w:p>
          <w:p w14:paraId="4B6861C4">
            <w:pPr>
              <w:pStyle w:val="11"/>
              <w:spacing w:after="0" w:line="360" w:lineRule="auto"/>
              <w:jc w:val="left"/>
              <w:rPr>
                <w:rFonts w:hint="eastAsia" w:ascii="宋体" w:hAnsi="宋体" w:cs="等线"/>
                <w:b/>
                <w:bCs/>
                <w:color w:val="auto"/>
                <w:sz w:val="24"/>
                <w:highlight w:val="none"/>
              </w:rPr>
            </w:pPr>
            <w:r>
              <w:rPr>
                <w:rFonts w:hint="eastAsia" w:ascii="宋体" w:hAnsi="宋体" w:cs="等线"/>
                <w:b/>
                <w:bCs/>
                <w:color w:val="auto"/>
                <w:sz w:val="24"/>
                <w:highlight w:val="none"/>
              </w:rPr>
              <w:t>交货地点：云南省怒江州六库镇（招标人指定地点）。</w:t>
            </w:r>
          </w:p>
        </w:tc>
      </w:tr>
      <w:tr w14:paraId="6C4D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1122" w:type="dxa"/>
            <w:noWrap w:val="0"/>
            <w:vAlign w:val="center"/>
          </w:tcPr>
          <w:p w14:paraId="51283FFF">
            <w:pPr>
              <w:pStyle w:val="16"/>
              <w:spacing w:line="360" w:lineRule="auto"/>
              <w:jc w:val="center"/>
              <w:rPr>
                <w:rFonts w:hAnsi="宋体"/>
                <w:color w:val="auto"/>
                <w:sz w:val="24"/>
                <w:szCs w:val="24"/>
                <w:highlight w:val="none"/>
              </w:rPr>
            </w:pPr>
            <w:r>
              <w:rPr>
                <w:rFonts w:hint="eastAsia" w:hAnsi="宋体"/>
                <w:color w:val="auto"/>
                <w:sz w:val="24"/>
                <w:szCs w:val="24"/>
                <w:highlight w:val="none"/>
              </w:rPr>
              <w:t>2</w:t>
            </w:r>
          </w:p>
        </w:tc>
        <w:tc>
          <w:tcPr>
            <w:tcW w:w="7819" w:type="dxa"/>
            <w:noWrap w:val="0"/>
            <w:vAlign w:val="center"/>
          </w:tcPr>
          <w:p w14:paraId="5B0E06CC">
            <w:pPr>
              <w:pStyle w:val="11"/>
              <w:spacing w:after="0" w:line="360" w:lineRule="auto"/>
              <w:jc w:val="left"/>
              <w:rPr>
                <w:rFonts w:hint="eastAsia" w:ascii="宋体" w:hAnsi="宋体" w:cs="等线"/>
                <w:b/>
                <w:bCs/>
                <w:color w:val="auto"/>
                <w:sz w:val="24"/>
                <w:highlight w:val="none"/>
              </w:rPr>
            </w:pPr>
            <w:r>
              <w:rPr>
                <w:rFonts w:hint="eastAsia" w:ascii="宋体" w:hAnsi="宋体" w:cs="等线"/>
                <w:b/>
                <w:bCs/>
                <w:color w:val="auto"/>
                <w:sz w:val="24"/>
                <w:highlight w:val="none"/>
                <w:lang w:val="en-US" w:eastAsia="zh-CN"/>
              </w:rPr>
              <w:t>合同履行期限：</w:t>
            </w:r>
            <w:r>
              <w:rPr>
                <w:rFonts w:hint="eastAsia" w:ascii="宋体" w:hAnsi="宋体" w:cs="等线"/>
                <w:b/>
                <w:bCs/>
                <w:color w:val="auto"/>
                <w:sz w:val="24"/>
                <w:highlight w:val="none"/>
              </w:rPr>
              <w:t>三年，合同一年一签，甲方按照医院内部评价机制，评价合格即可签订下一年度合同。评价不合格甲方有权不签订下一年度合同，重新招标。</w:t>
            </w:r>
          </w:p>
        </w:tc>
      </w:tr>
      <w:tr w14:paraId="5AEF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1122" w:type="dxa"/>
            <w:noWrap w:val="0"/>
            <w:vAlign w:val="center"/>
          </w:tcPr>
          <w:p w14:paraId="4C585AF7">
            <w:pPr>
              <w:pStyle w:val="16"/>
              <w:spacing w:line="360" w:lineRule="auto"/>
              <w:jc w:val="center"/>
              <w:rPr>
                <w:rFonts w:hint="eastAsia" w:hAnsi="宋体"/>
                <w:color w:val="auto"/>
                <w:sz w:val="24"/>
                <w:szCs w:val="24"/>
                <w:highlight w:val="none"/>
              </w:rPr>
            </w:pPr>
            <w:r>
              <w:rPr>
                <w:rFonts w:hint="eastAsia" w:hAnsi="宋体"/>
                <w:color w:val="auto"/>
                <w:sz w:val="24"/>
                <w:szCs w:val="24"/>
                <w:highlight w:val="none"/>
              </w:rPr>
              <w:t>3</w:t>
            </w:r>
          </w:p>
        </w:tc>
        <w:tc>
          <w:tcPr>
            <w:tcW w:w="7819" w:type="dxa"/>
            <w:noWrap w:val="0"/>
            <w:vAlign w:val="center"/>
          </w:tcPr>
          <w:p w14:paraId="2E7F19DE">
            <w:pPr>
              <w:pStyle w:val="11"/>
              <w:spacing w:after="0" w:line="360" w:lineRule="auto"/>
              <w:jc w:val="left"/>
              <w:rPr>
                <w:rFonts w:hint="eastAsia" w:ascii="宋体" w:hAnsi="宋体" w:cs="等线"/>
                <w:b/>
                <w:bCs/>
                <w:color w:val="auto"/>
                <w:sz w:val="24"/>
                <w:highlight w:val="none"/>
              </w:rPr>
            </w:pPr>
            <w:r>
              <w:rPr>
                <w:rFonts w:hint="eastAsia" w:ascii="宋体" w:hAnsi="宋体"/>
                <w:b/>
                <w:color w:val="auto"/>
                <w:sz w:val="24"/>
                <w:highlight w:val="none"/>
              </w:rPr>
              <w:t>在供货期间，如遇到国家、省市出台新的医保带量采购政策、或进行集采</w:t>
            </w:r>
            <w:r>
              <w:rPr>
                <w:rFonts w:hint="eastAsia" w:ascii="宋体" w:hAnsi="宋体"/>
                <w:b/>
                <w:color w:val="auto"/>
                <w:sz w:val="24"/>
                <w:highlight w:val="none"/>
                <w:lang w:val="en-US" w:eastAsia="zh-CN"/>
              </w:rPr>
              <w:t>等政策</w:t>
            </w:r>
            <w:r>
              <w:rPr>
                <w:rFonts w:hint="eastAsia" w:ascii="宋体" w:hAnsi="宋体"/>
                <w:b/>
                <w:color w:val="auto"/>
                <w:sz w:val="24"/>
                <w:highlight w:val="none"/>
              </w:rPr>
              <w:t>，与本次采购结果相冲突的，执行国家、省市最新医保带量采购政策或带量采购价格。</w:t>
            </w:r>
          </w:p>
        </w:tc>
      </w:tr>
    </w:tbl>
    <w:p w14:paraId="7A7D4051">
      <w:pPr>
        <w:rPr>
          <w:rFonts w:hint="eastAsia" w:ascii="宋体" w:hAnsi="宋体"/>
          <w:b/>
          <w:bCs/>
          <w:color w:val="auto"/>
          <w:highlight w:val="none"/>
        </w:rPr>
      </w:pPr>
    </w:p>
    <w:p w14:paraId="0EA808E4">
      <w:pPr>
        <w:pStyle w:val="11"/>
        <w:rPr>
          <w:color w:val="auto"/>
          <w:highlight w:val="none"/>
        </w:rPr>
      </w:pPr>
      <w:r>
        <w:rPr>
          <w:color w:val="auto"/>
          <w:highlight w:val="none"/>
        </w:rPr>
        <w:br w:type="page"/>
      </w:r>
    </w:p>
    <w:p w14:paraId="62F10C50">
      <w:pPr>
        <w:pStyle w:val="16"/>
        <w:autoSpaceDE w:val="0"/>
        <w:autoSpaceDN w:val="0"/>
        <w:adjustRightInd w:val="0"/>
        <w:jc w:val="center"/>
        <w:rPr>
          <w:rFonts w:hint="eastAsia" w:hAnsi="宋体"/>
          <w:b/>
          <w:bCs/>
          <w:color w:val="auto"/>
          <w:kern w:val="0"/>
          <w:sz w:val="44"/>
          <w:szCs w:val="44"/>
          <w:highlight w:val="none"/>
          <w:lang w:val="en-US" w:eastAsia="zh-CN"/>
        </w:rPr>
      </w:pPr>
    </w:p>
    <w:p w14:paraId="0018FCE0">
      <w:pPr>
        <w:pageBreakBefore w:val="0"/>
        <w:kinsoku/>
        <w:wordWrap/>
        <w:overflowPunct/>
        <w:topLinePunct w:val="0"/>
        <w:bidi w:val="0"/>
        <w:snapToGrid/>
        <w:spacing w:line="560" w:lineRule="exact"/>
        <w:rPr>
          <w:rFonts w:hint="eastAsia" w:ascii="仿宋" w:hAnsi="仿宋" w:eastAsia="仿宋" w:cs="仿宋"/>
          <w:color w:val="auto"/>
          <w:kern w:val="2"/>
          <w:sz w:val="32"/>
          <w:szCs w:val="32"/>
          <w:highlight w:val="none"/>
          <w:shd w:val="clear" w:color="auto" w:fill="FFFFFF"/>
          <w:lang w:val="en-US" w:eastAsia="zh-CN" w:bidi="ar-SA"/>
        </w:rPr>
      </w:pPr>
      <w:r>
        <w:rPr>
          <w:rFonts w:hint="eastAsia" w:ascii="仿宋" w:hAnsi="仿宋" w:eastAsia="仿宋" w:cs="仿宋"/>
          <w:color w:val="auto"/>
          <w:kern w:val="2"/>
          <w:sz w:val="32"/>
          <w:szCs w:val="32"/>
          <w:highlight w:val="none"/>
          <w:shd w:val="clear" w:color="auto" w:fill="FFFFFF"/>
          <w:lang w:val="en-US" w:eastAsia="zh-CN" w:bidi="ar-SA"/>
        </w:rPr>
        <w:t>采购方（甲方）：怒江傈僳族自治州中医医院</w:t>
      </w:r>
    </w:p>
    <w:p w14:paraId="746FA11D">
      <w:pPr>
        <w:pageBreakBefore w:val="0"/>
        <w:kinsoku/>
        <w:wordWrap/>
        <w:overflowPunct/>
        <w:topLinePunct w:val="0"/>
        <w:bidi w:val="0"/>
        <w:snapToGrid/>
        <w:spacing w:line="560" w:lineRule="exact"/>
        <w:rPr>
          <w:rFonts w:hint="eastAsia" w:ascii="仿宋" w:hAnsi="仿宋" w:eastAsia="仿宋" w:cs="仿宋"/>
          <w:color w:val="auto"/>
          <w:kern w:val="2"/>
          <w:sz w:val="32"/>
          <w:szCs w:val="32"/>
          <w:highlight w:val="none"/>
          <w:shd w:val="clear" w:color="auto" w:fill="FFFFFF"/>
          <w:lang w:val="en-US" w:eastAsia="zh-CN" w:bidi="ar-SA"/>
        </w:rPr>
      </w:pPr>
      <w:r>
        <w:rPr>
          <w:rFonts w:hint="eastAsia" w:ascii="仿宋" w:hAnsi="仿宋" w:eastAsia="仿宋" w:cs="仿宋"/>
          <w:color w:val="auto"/>
          <w:kern w:val="2"/>
          <w:sz w:val="32"/>
          <w:szCs w:val="32"/>
          <w:highlight w:val="none"/>
          <w:shd w:val="clear" w:color="auto" w:fill="FFFFFF"/>
          <w:lang w:val="en-US" w:eastAsia="zh-CN" w:bidi="ar-SA"/>
        </w:rPr>
        <w:t>供货方（乙方）：</w:t>
      </w:r>
      <w:r>
        <w:rPr>
          <w:rFonts w:hint="default" w:ascii="仿宋" w:hAnsi="仿宋" w:eastAsia="仿宋" w:cs="仿宋"/>
          <w:color w:val="auto"/>
          <w:kern w:val="2"/>
          <w:sz w:val="32"/>
          <w:szCs w:val="32"/>
          <w:highlight w:val="none"/>
          <w:shd w:val="clear" w:color="auto" w:fill="FFFFFF"/>
          <w:lang w:val="en-US" w:eastAsia="zh-CN" w:bidi="ar-SA"/>
        </w:rPr>
        <w:t xml:space="preserve"> </w:t>
      </w:r>
      <w:r>
        <w:rPr>
          <w:rFonts w:hint="eastAsia" w:ascii="仿宋" w:hAnsi="仿宋" w:eastAsia="仿宋" w:cs="仿宋"/>
          <w:color w:val="auto"/>
          <w:kern w:val="2"/>
          <w:sz w:val="32"/>
          <w:szCs w:val="32"/>
          <w:highlight w:val="none"/>
          <w:shd w:val="clear" w:color="auto" w:fill="FFFFFF"/>
          <w:lang w:val="en-US" w:eastAsia="zh-CN" w:bidi="ar-SA"/>
        </w:rPr>
        <w:t xml:space="preserve">                            </w:t>
      </w:r>
    </w:p>
    <w:p w14:paraId="2CF92A13">
      <w:pPr>
        <w:pageBreakBefore w:val="0"/>
        <w:kinsoku/>
        <w:wordWrap/>
        <w:overflowPunct/>
        <w:topLinePunct w:val="0"/>
        <w:bidi w:val="0"/>
        <w:snapToGrid/>
        <w:spacing w:line="560" w:lineRule="exact"/>
        <w:ind w:firstLine="640" w:firstLineChars="200"/>
        <w:rPr>
          <w:rFonts w:hint="eastAsia" w:ascii="仿宋" w:hAnsi="仿宋" w:eastAsia="仿宋" w:cs="仿宋"/>
          <w:color w:val="auto"/>
          <w:kern w:val="2"/>
          <w:sz w:val="32"/>
          <w:szCs w:val="32"/>
          <w:highlight w:val="none"/>
          <w:shd w:val="clear" w:color="auto" w:fill="FFFFFF"/>
          <w:lang w:val="en-US" w:eastAsia="zh-CN" w:bidi="ar-SA"/>
        </w:rPr>
      </w:pPr>
      <w:r>
        <w:rPr>
          <w:rFonts w:hint="eastAsia" w:ascii="仿宋" w:hAnsi="仿宋" w:eastAsia="仿宋" w:cs="仿宋"/>
          <w:color w:val="auto"/>
          <w:kern w:val="2"/>
          <w:sz w:val="32"/>
          <w:szCs w:val="32"/>
          <w:highlight w:val="none"/>
          <w:shd w:val="clear" w:color="auto" w:fill="FFFFFF"/>
          <w:lang w:val="en-US" w:eastAsia="zh-CN" w:bidi="ar-SA"/>
        </w:rPr>
        <w:t xml:space="preserve"> 根据《医疗器械监督管理条例》和《医疗器械经营企业许可证管理办法》等法律法规以及行业有关规定，为进一步加强医用耗材的购销管理，严格执行采购程序，规范供销渠道，确保产品质量，保证临床医疗安全，特别按公开招标形式确认的乙方供应产品在平等、互利的基础上，达成协议如下：</w:t>
      </w:r>
    </w:p>
    <w:p w14:paraId="6AF4469C">
      <w:pPr>
        <w:pageBreakBefore w:val="0"/>
        <w:kinsoku/>
        <w:wordWrap/>
        <w:overflowPunct/>
        <w:topLinePunct w:val="0"/>
        <w:bidi w:val="0"/>
        <w:snapToGrid/>
        <w:spacing w:line="560" w:lineRule="exact"/>
        <w:ind w:firstLine="643" w:firstLineChars="200"/>
        <w:rPr>
          <w:rStyle w:val="84"/>
          <w:rFonts w:hint="eastAsia" w:ascii="黑体" w:hAnsi="黑体" w:eastAsia="黑体" w:cs="黑体"/>
          <w:b/>
          <w:color w:val="auto"/>
          <w:sz w:val="32"/>
          <w:szCs w:val="32"/>
          <w:highlight w:val="none"/>
          <w:shd w:val="clear" w:color="auto" w:fill="FFFFFF"/>
        </w:rPr>
      </w:pPr>
      <w:r>
        <w:rPr>
          <w:rFonts w:hint="eastAsia" w:ascii="黑体" w:hAnsi="黑体" w:eastAsia="黑体" w:cs="黑体"/>
          <w:b/>
          <w:color w:val="auto"/>
          <w:sz w:val="32"/>
          <w:szCs w:val="32"/>
          <w:highlight w:val="none"/>
          <w:shd w:val="clear" w:color="auto" w:fill="FFFFFF"/>
        </w:rPr>
        <w:t>一、质量和技术标准：</w:t>
      </w:r>
    </w:p>
    <w:p w14:paraId="13231C47">
      <w:pPr>
        <w:pStyle w:val="85"/>
        <w:pageBreakBefore w:val="0"/>
        <w:shd w:val="clear" w:color="auto" w:fill="FFFFFF"/>
        <w:kinsoku/>
        <w:wordWrap/>
        <w:overflowPunct/>
        <w:topLinePunct w:val="0"/>
        <w:bidi w:val="0"/>
        <w:snapToGrid/>
        <w:spacing w:before="0" w:beforeAutospacing="0" w:after="0" w:afterAutospacing="0" w:line="560" w:lineRule="exact"/>
        <w:ind w:firstLine="640" w:firstLineChars="200"/>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shd w:val="clear" w:color="auto" w:fill="FFFFFF"/>
        </w:rPr>
        <w:t>乙方保证向甲方所提供的医用耗材为符合国家相关质量标准和行业标准的合格产品，以确保临床医疗安全。</w:t>
      </w:r>
      <w:r>
        <w:rPr>
          <w:rFonts w:hint="eastAsia" w:ascii="仿宋" w:hAnsi="仿宋" w:eastAsia="仿宋" w:cs="仿宋"/>
          <w:color w:val="auto"/>
          <w:sz w:val="32"/>
          <w:szCs w:val="32"/>
          <w:highlight w:val="none"/>
          <w:shd w:val="clear" w:color="auto" w:fill="FFFFFF"/>
        </w:rPr>
        <w:t>如在正常使用和治疗过程中，因产品质量问题而导致医疗纠纷或事故的发生，经相关部门鉴定属实，乙方必须承担全部法律责任和赔偿责任(包括但不限于律师费、诉讼费、差旅费)。</w:t>
      </w:r>
    </w:p>
    <w:p w14:paraId="427B860D">
      <w:pPr>
        <w:pageBreakBefore w:val="0"/>
        <w:kinsoku/>
        <w:wordWrap/>
        <w:overflowPunct/>
        <w:topLinePunct w:val="0"/>
        <w:bidi w:val="0"/>
        <w:snapToGrid/>
        <w:spacing w:line="560" w:lineRule="exact"/>
        <w:ind w:firstLine="643" w:firstLineChars="200"/>
        <w:rPr>
          <w:rFonts w:hint="eastAsia" w:ascii="黑体" w:hAnsi="黑体" w:eastAsia="黑体" w:cs="黑体"/>
          <w:b/>
          <w:color w:val="auto"/>
          <w:sz w:val="32"/>
          <w:szCs w:val="32"/>
          <w:highlight w:val="none"/>
          <w:shd w:val="clear" w:color="auto" w:fill="FFFFFF"/>
        </w:rPr>
      </w:pPr>
      <w:r>
        <w:rPr>
          <w:rFonts w:hint="eastAsia" w:ascii="黑体" w:hAnsi="黑体" w:eastAsia="黑体" w:cs="黑体"/>
          <w:b/>
          <w:color w:val="auto"/>
          <w:sz w:val="32"/>
          <w:szCs w:val="32"/>
          <w:highlight w:val="none"/>
          <w:shd w:val="clear" w:color="auto" w:fill="FFFFFF"/>
        </w:rPr>
        <w:t>二、交货时间、地点与方式</w:t>
      </w:r>
    </w:p>
    <w:p w14:paraId="1CB9694C">
      <w:pPr>
        <w:keepNext w:val="0"/>
        <w:keepLines w:val="0"/>
        <w:widowControl/>
        <w:suppressLineNumbers w:val="0"/>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kern w:val="2"/>
          <w:sz w:val="32"/>
          <w:szCs w:val="32"/>
          <w:highlight w:val="none"/>
          <w:shd w:val="clear" w:color="auto" w:fill="FFFFFF"/>
        </w:rPr>
        <w:t>1</w:t>
      </w:r>
      <w:r>
        <w:rPr>
          <w:rFonts w:hint="eastAsia" w:ascii="仿宋" w:hAnsi="仿宋" w:eastAsia="仿宋" w:cs="仿宋"/>
          <w:color w:val="auto"/>
          <w:kern w:val="2"/>
          <w:sz w:val="32"/>
          <w:szCs w:val="32"/>
          <w:highlight w:val="none"/>
          <w:shd w:val="clear" w:color="auto" w:fill="FFFFFF"/>
          <w:lang w:val="en-US" w:eastAsia="zh-CN"/>
        </w:rPr>
        <w:t>.</w:t>
      </w:r>
      <w:r>
        <w:rPr>
          <w:rFonts w:hint="eastAsia" w:ascii="仿宋" w:hAnsi="仿宋" w:eastAsia="仿宋" w:cs="仿宋"/>
          <w:color w:val="auto"/>
          <w:kern w:val="2"/>
          <w:sz w:val="32"/>
          <w:szCs w:val="32"/>
          <w:highlight w:val="none"/>
          <w:shd w:val="clear" w:color="auto" w:fill="FFFFFF"/>
        </w:rPr>
        <w:t>乙方对所供医用耗材应适当备货，确保甲方需要。</w:t>
      </w:r>
      <w:r>
        <w:rPr>
          <w:rFonts w:hint="eastAsia" w:ascii="仿宋" w:hAnsi="仿宋" w:eastAsia="仿宋" w:cs="仿宋"/>
          <w:color w:val="auto"/>
          <w:sz w:val="32"/>
          <w:szCs w:val="32"/>
          <w:highlight w:val="none"/>
        </w:rPr>
        <w:t>乙方每</w:t>
      </w:r>
      <w:r>
        <w:rPr>
          <w:rFonts w:hint="eastAsia" w:ascii="仿宋" w:hAnsi="仿宋" w:eastAsia="仿宋" w:cs="仿宋"/>
          <w:color w:val="auto"/>
          <w:kern w:val="2"/>
          <w:sz w:val="32"/>
          <w:szCs w:val="32"/>
          <w:highlight w:val="none"/>
          <w:shd w:val="clear" w:color="auto" w:fill="FFFFFF"/>
        </w:rPr>
        <w:t>次收到甲方计划通知单后均应按甲方计划通知单</w:t>
      </w:r>
      <w:r>
        <w:rPr>
          <w:rFonts w:hint="eastAsia" w:ascii="仿宋" w:hAnsi="仿宋" w:eastAsia="仿宋" w:cs="仿宋"/>
          <w:color w:val="auto"/>
          <w:kern w:val="2"/>
          <w:sz w:val="32"/>
          <w:szCs w:val="32"/>
          <w:highlight w:val="none"/>
          <w:shd w:val="clear" w:color="auto" w:fill="FFFFFF"/>
          <w:lang w:val="en-US" w:eastAsia="zh-CN"/>
        </w:rPr>
        <w:t>按约定时间及时配送，采购方需做到收通知后10分钟内响应，1小时内（含）供货，其中急救物资原则上在半小时内配送到位。</w:t>
      </w:r>
      <w:r>
        <w:rPr>
          <w:rFonts w:hint="eastAsia" w:ascii="仿宋" w:hAnsi="仿宋" w:eastAsia="仿宋" w:cs="仿宋"/>
          <w:color w:val="auto"/>
          <w:sz w:val="32"/>
          <w:szCs w:val="32"/>
          <w:highlight w:val="none"/>
          <w:lang w:val="en-US" w:eastAsia="zh-CN"/>
        </w:rPr>
        <w:t>节假日照常配送，随货提供与实物信息完全一致随货同行票据和相关证明资料，如若违反则一次罚款</w:t>
      </w:r>
      <w:r>
        <w:rPr>
          <w:rFonts w:hint="default"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lang w:val="en-US" w:eastAsia="zh-CN"/>
        </w:rPr>
        <w:t>万元。除特殊原因（不可抗力等）</w:t>
      </w:r>
      <w:r>
        <w:rPr>
          <w:rFonts w:hint="eastAsia" w:ascii="仿宋" w:hAnsi="仿宋" w:eastAsia="仿宋" w:cs="仿宋"/>
          <w:color w:val="auto"/>
          <w:sz w:val="32"/>
          <w:szCs w:val="32"/>
          <w:highlight w:val="none"/>
        </w:rPr>
        <w:t>不能按时配送的须及时告知甲方，可推迟配送，最迟不得超过24小时，否则每次处以该批次配送产品总金额的15%-30%的罚款，若一年内累计四次及以上不能按时配送的，甲方有权解除合同另行选择配送企业。</w:t>
      </w:r>
    </w:p>
    <w:p w14:paraId="419FBCAD">
      <w:pPr>
        <w:pStyle w:val="85"/>
        <w:pageBreakBefore w:val="0"/>
        <w:shd w:val="clear" w:color="auto" w:fill="FFFFFF"/>
        <w:kinsoku/>
        <w:wordWrap/>
        <w:overflowPunct/>
        <w:topLinePunct w:val="0"/>
        <w:bidi w:val="0"/>
        <w:snapToGrid/>
        <w:spacing w:before="0" w:beforeAutospacing="0" w:after="0" w:afterAutospacing="0" w:line="560" w:lineRule="exact"/>
        <w:ind w:firstLine="640" w:firstLineChars="200"/>
        <w:rPr>
          <w:rFonts w:hint="eastAsia" w:ascii="仿宋" w:hAnsi="仿宋" w:eastAsia="仿宋" w:cs="仿宋"/>
          <w:color w:val="auto"/>
          <w:kern w:val="2"/>
          <w:sz w:val="32"/>
          <w:szCs w:val="32"/>
          <w:highlight w:val="none"/>
          <w:shd w:val="clear" w:color="auto" w:fill="FFFFFF"/>
        </w:rPr>
      </w:pPr>
      <w:r>
        <w:rPr>
          <w:rFonts w:hint="eastAsia" w:ascii="仿宋" w:hAnsi="仿宋" w:eastAsia="仿宋" w:cs="仿宋"/>
          <w:color w:val="auto"/>
          <w:kern w:val="2"/>
          <w:sz w:val="32"/>
          <w:szCs w:val="32"/>
          <w:highlight w:val="none"/>
          <w:shd w:val="clear" w:color="auto" w:fill="FFFFFF"/>
        </w:rPr>
        <w:t>临时采购计划及更换货物在甲方规定的时间内供货；急诊或急救耗材必须保证随时下达计划随时供货，不得因供货不</w:t>
      </w:r>
      <w:r>
        <w:rPr>
          <w:rFonts w:hint="eastAsia" w:ascii="仿宋" w:hAnsi="仿宋" w:eastAsia="仿宋" w:cs="仿宋"/>
          <w:color w:val="auto"/>
          <w:kern w:val="2"/>
          <w:sz w:val="32"/>
          <w:szCs w:val="32"/>
          <w:highlight w:val="none"/>
          <w:shd w:val="clear" w:color="auto" w:fill="FFFFFF"/>
          <w:lang w:val="en-US" w:eastAsia="zh-CN"/>
        </w:rPr>
        <w:t>及</w:t>
      </w:r>
      <w:r>
        <w:rPr>
          <w:rFonts w:hint="eastAsia" w:ascii="仿宋" w:hAnsi="仿宋" w:eastAsia="仿宋" w:cs="仿宋"/>
          <w:color w:val="auto"/>
          <w:kern w:val="2"/>
          <w:sz w:val="32"/>
          <w:szCs w:val="32"/>
          <w:highlight w:val="none"/>
          <w:shd w:val="clear" w:color="auto" w:fill="FFFFFF"/>
        </w:rPr>
        <w:t>时影响甲方正常医疗工作。</w:t>
      </w:r>
    </w:p>
    <w:p w14:paraId="2D7BA11C">
      <w:pPr>
        <w:pStyle w:val="85"/>
        <w:pageBreakBefore w:val="0"/>
        <w:shd w:val="clear" w:color="auto" w:fill="FFFFFF"/>
        <w:kinsoku/>
        <w:wordWrap/>
        <w:overflowPunct/>
        <w:topLinePunct w:val="0"/>
        <w:bidi w:val="0"/>
        <w:snapToGrid/>
        <w:spacing w:before="0" w:beforeAutospacing="0" w:after="0" w:afterAutospacing="0" w:line="560" w:lineRule="exact"/>
        <w:ind w:firstLine="800" w:firstLineChars="250"/>
        <w:rPr>
          <w:rFonts w:hint="eastAsia" w:ascii="仿宋" w:hAnsi="仿宋" w:eastAsia="仿宋" w:cs="仿宋"/>
          <w:color w:val="auto"/>
          <w:kern w:val="2"/>
          <w:sz w:val="32"/>
          <w:szCs w:val="32"/>
          <w:highlight w:val="none"/>
          <w:shd w:val="clear" w:color="auto" w:fill="FFFFFF"/>
        </w:rPr>
      </w:pPr>
      <w:r>
        <w:rPr>
          <w:rFonts w:hint="eastAsia" w:ascii="仿宋" w:hAnsi="仿宋" w:eastAsia="仿宋" w:cs="仿宋"/>
          <w:color w:val="auto"/>
          <w:kern w:val="2"/>
          <w:sz w:val="32"/>
          <w:szCs w:val="32"/>
          <w:highlight w:val="none"/>
          <w:shd w:val="clear" w:color="auto" w:fill="FFFFFF"/>
        </w:rPr>
        <w:t>2</w:t>
      </w:r>
      <w:r>
        <w:rPr>
          <w:rFonts w:hint="eastAsia" w:ascii="仿宋" w:hAnsi="仿宋" w:eastAsia="仿宋" w:cs="仿宋"/>
          <w:color w:val="auto"/>
          <w:kern w:val="2"/>
          <w:sz w:val="32"/>
          <w:szCs w:val="32"/>
          <w:highlight w:val="none"/>
          <w:shd w:val="clear" w:color="auto" w:fill="FFFFFF"/>
          <w:lang w:val="en-US" w:eastAsia="zh-CN"/>
        </w:rPr>
        <w:t>.</w:t>
      </w:r>
      <w:r>
        <w:rPr>
          <w:rFonts w:hint="eastAsia" w:ascii="仿宋" w:hAnsi="仿宋" w:eastAsia="仿宋" w:cs="仿宋"/>
          <w:color w:val="auto"/>
          <w:kern w:val="2"/>
          <w:sz w:val="32"/>
          <w:szCs w:val="32"/>
          <w:highlight w:val="none"/>
          <w:shd w:val="clear" w:color="auto" w:fill="FFFFFF"/>
        </w:rPr>
        <w:t>乙方所供医用耗材必须事先送达甲方装备库房办理验收入库手续。医院的非常规性备库材料和非正常上班时间的急诊、急救（含手术）材料的供货，送货单必须由使用科室主任或负责人签收后再办理入库手续。</w:t>
      </w:r>
    </w:p>
    <w:p w14:paraId="6B7A0F1B">
      <w:pPr>
        <w:pStyle w:val="85"/>
        <w:pageBreakBefore w:val="0"/>
        <w:shd w:val="clear" w:color="auto" w:fill="FFFFFF"/>
        <w:kinsoku/>
        <w:wordWrap/>
        <w:overflowPunct/>
        <w:topLinePunct w:val="0"/>
        <w:bidi w:val="0"/>
        <w:snapToGrid/>
        <w:spacing w:before="0" w:beforeAutospacing="0" w:after="0" w:afterAutospacing="0" w:line="560" w:lineRule="exact"/>
        <w:ind w:firstLine="640" w:firstLineChars="200"/>
        <w:rPr>
          <w:rFonts w:hint="eastAsia" w:ascii="仿宋" w:hAnsi="仿宋" w:eastAsia="仿宋" w:cs="仿宋"/>
          <w:color w:val="auto"/>
          <w:kern w:val="2"/>
          <w:sz w:val="32"/>
          <w:szCs w:val="32"/>
          <w:highlight w:val="none"/>
          <w:shd w:val="clear" w:color="auto" w:fill="FFFFFF"/>
        </w:rPr>
      </w:pPr>
      <w:r>
        <w:rPr>
          <w:rFonts w:hint="eastAsia" w:ascii="仿宋" w:hAnsi="仿宋" w:eastAsia="仿宋" w:cs="仿宋"/>
          <w:color w:val="auto"/>
          <w:kern w:val="2"/>
          <w:sz w:val="32"/>
          <w:szCs w:val="32"/>
          <w:highlight w:val="none"/>
          <w:shd w:val="clear" w:color="auto" w:fill="FFFFFF"/>
        </w:rPr>
        <w:t>3</w:t>
      </w:r>
      <w:r>
        <w:rPr>
          <w:rFonts w:hint="eastAsia" w:ascii="仿宋" w:hAnsi="仿宋" w:eastAsia="仿宋" w:cs="仿宋"/>
          <w:color w:val="auto"/>
          <w:kern w:val="2"/>
          <w:sz w:val="32"/>
          <w:szCs w:val="32"/>
          <w:highlight w:val="none"/>
          <w:shd w:val="clear" w:color="auto" w:fill="FFFFFF"/>
          <w:lang w:val="en-US" w:eastAsia="zh-CN"/>
        </w:rPr>
        <w:t>.</w:t>
      </w:r>
      <w:r>
        <w:rPr>
          <w:rFonts w:hint="eastAsia" w:ascii="仿宋" w:hAnsi="仿宋" w:eastAsia="仿宋" w:cs="仿宋"/>
          <w:color w:val="auto"/>
          <w:kern w:val="2"/>
          <w:sz w:val="32"/>
          <w:szCs w:val="32"/>
          <w:highlight w:val="none"/>
          <w:shd w:val="clear" w:color="auto" w:fill="FFFFFF"/>
        </w:rPr>
        <w:t>医用耗材的送达所产生的费用由乙方负责。运输途中的破损，由乙方负责。</w:t>
      </w:r>
    </w:p>
    <w:p w14:paraId="0C18F68D">
      <w:pPr>
        <w:pageBreakBefore w:val="0"/>
        <w:kinsoku/>
        <w:wordWrap/>
        <w:overflowPunct/>
        <w:topLinePunct w:val="0"/>
        <w:bidi w:val="0"/>
        <w:snapToGrid/>
        <w:spacing w:line="560" w:lineRule="exact"/>
        <w:ind w:firstLine="643" w:firstLineChars="200"/>
        <w:rPr>
          <w:rFonts w:hint="eastAsia" w:ascii="黑体" w:hAnsi="黑体" w:eastAsia="黑体" w:cs="黑体"/>
          <w:b/>
          <w:color w:val="auto"/>
          <w:sz w:val="32"/>
          <w:szCs w:val="32"/>
          <w:highlight w:val="none"/>
          <w:shd w:val="clear" w:color="auto" w:fill="FFFFFF"/>
        </w:rPr>
      </w:pPr>
      <w:r>
        <w:rPr>
          <w:rFonts w:hint="eastAsia" w:ascii="黑体" w:hAnsi="黑体" w:eastAsia="黑体" w:cs="黑体"/>
          <w:b/>
          <w:color w:val="auto"/>
          <w:sz w:val="32"/>
          <w:szCs w:val="32"/>
          <w:highlight w:val="none"/>
          <w:shd w:val="clear" w:color="auto" w:fill="FFFFFF"/>
        </w:rPr>
        <w:t>三、验收方式</w:t>
      </w:r>
    </w:p>
    <w:p w14:paraId="27255110">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货到当天内双方以产品说明，合格证书等标准进行验收并附检验报告，如有产品质量问题由乙方负责更换。</w:t>
      </w:r>
    </w:p>
    <w:p w14:paraId="18E6FB02">
      <w:pPr>
        <w:pageBreakBefore w:val="0"/>
        <w:kinsoku/>
        <w:wordWrap/>
        <w:overflowPunct/>
        <w:topLinePunct w:val="0"/>
        <w:bidi w:val="0"/>
        <w:snapToGrid/>
        <w:spacing w:line="560" w:lineRule="exact"/>
        <w:ind w:firstLine="643" w:firstLineChars="200"/>
        <w:rPr>
          <w:rFonts w:hint="eastAsia" w:ascii="黑体" w:hAnsi="黑体" w:eastAsia="黑体" w:cs="黑体"/>
          <w:b/>
          <w:color w:val="auto"/>
          <w:sz w:val="32"/>
          <w:szCs w:val="32"/>
          <w:highlight w:val="none"/>
          <w:shd w:val="clear" w:color="auto" w:fill="FFFFFF"/>
        </w:rPr>
      </w:pPr>
      <w:r>
        <w:rPr>
          <w:rFonts w:hint="eastAsia" w:ascii="黑体" w:hAnsi="黑体" w:eastAsia="黑体" w:cs="黑体"/>
          <w:b/>
          <w:color w:val="auto"/>
          <w:sz w:val="32"/>
          <w:szCs w:val="32"/>
          <w:highlight w:val="none"/>
          <w:shd w:val="clear" w:color="auto" w:fill="FFFFFF"/>
        </w:rPr>
        <w:t>四、付款方式</w:t>
      </w:r>
    </w:p>
    <w:p w14:paraId="18A83322">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乙方按正常途径供货并办理入库手续后，甲方凭乙方开具</w:t>
      </w:r>
      <w:r>
        <w:rPr>
          <w:rFonts w:hint="eastAsia" w:ascii="仿宋" w:hAnsi="仿宋" w:eastAsia="仿宋" w:cs="仿宋"/>
          <w:color w:val="auto"/>
          <w:sz w:val="32"/>
          <w:szCs w:val="32"/>
          <w:highlight w:val="none"/>
          <w:shd w:val="clear" w:color="auto" w:fill="FFFFFF"/>
          <w:lang w:val="en-US" w:eastAsia="zh-CN"/>
        </w:rPr>
        <w:t>实际</w:t>
      </w:r>
      <w:r>
        <w:rPr>
          <w:rFonts w:hint="eastAsia" w:ascii="仿宋" w:hAnsi="仿宋" w:eastAsia="仿宋" w:cs="仿宋"/>
          <w:color w:val="auto"/>
          <w:sz w:val="32"/>
          <w:szCs w:val="32"/>
          <w:highlight w:val="none"/>
          <w:shd w:val="clear" w:color="auto" w:fill="FFFFFF"/>
        </w:rPr>
        <w:t>的送货清单、发票，按医院财务规定的程序办理。</w:t>
      </w:r>
    </w:p>
    <w:p w14:paraId="5DB3ED89">
      <w:pPr>
        <w:pageBreakBefore w:val="0"/>
        <w:kinsoku/>
        <w:wordWrap/>
        <w:overflowPunct/>
        <w:topLinePunct w:val="0"/>
        <w:bidi w:val="0"/>
        <w:snapToGrid/>
        <w:spacing w:line="560" w:lineRule="exact"/>
        <w:ind w:firstLine="643" w:firstLineChars="200"/>
        <w:rPr>
          <w:rFonts w:hint="eastAsia" w:ascii="黑体" w:hAnsi="黑体" w:eastAsia="黑体" w:cs="黑体"/>
          <w:b/>
          <w:color w:val="auto"/>
          <w:sz w:val="32"/>
          <w:szCs w:val="32"/>
          <w:highlight w:val="none"/>
          <w:shd w:val="clear" w:color="auto" w:fill="FFFFFF"/>
        </w:rPr>
      </w:pPr>
      <w:r>
        <w:rPr>
          <w:rFonts w:hint="eastAsia" w:ascii="黑体" w:hAnsi="黑体" w:eastAsia="黑体" w:cs="黑体"/>
          <w:b/>
          <w:color w:val="auto"/>
          <w:sz w:val="32"/>
          <w:szCs w:val="32"/>
          <w:highlight w:val="none"/>
          <w:shd w:val="clear" w:color="auto" w:fill="FFFFFF"/>
        </w:rPr>
        <w:t>五、双方责任</w:t>
      </w:r>
    </w:p>
    <w:p w14:paraId="2FCC99E7">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1</w:t>
      </w:r>
      <w:r>
        <w:rPr>
          <w:rFonts w:hint="eastAsia" w:ascii="仿宋" w:hAnsi="仿宋" w:eastAsia="仿宋" w:cs="仿宋"/>
          <w:color w:val="auto"/>
          <w:sz w:val="32"/>
          <w:szCs w:val="32"/>
          <w:highlight w:val="none"/>
          <w:shd w:val="clear" w:color="auto" w:fill="FFFFFF"/>
          <w:lang w:val="en-US" w:eastAsia="zh-CN"/>
        </w:rPr>
        <w:t>.</w:t>
      </w:r>
      <w:r>
        <w:rPr>
          <w:rFonts w:hint="eastAsia" w:ascii="仿宋" w:hAnsi="仿宋" w:eastAsia="仿宋" w:cs="仿宋"/>
          <w:color w:val="auto"/>
          <w:sz w:val="32"/>
          <w:szCs w:val="32"/>
          <w:highlight w:val="none"/>
          <w:shd w:val="clear" w:color="auto" w:fill="FFFFFF"/>
        </w:rPr>
        <w:t>乙方保证所供医用耗材相关资质证照齐备、有效并符合《医疗器械监督管理条例》相关规定；相关资</w:t>
      </w:r>
      <w:r>
        <w:rPr>
          <w:rFonts w:hint="eastAsia" w:ascii="仿宋" w:hAnsi="仿宋" w:eastAsia="仿宋" w:cs="仿宋"/>
          <w:color w:val="auto"/>
          <w:sz w:val="32"/>
          <w:szCs w:val="32"/>
          <w:highlight w:val="none"/>
          <w:shd w:val="clear" w:color="auto" w:fill="FFFFFF"/>
          <w:lang w:val="en-US" w:eastAsia="zh-CN"/>
        </w:rPr>
        <w:t>质</w:t>
      </w:r>
      <w:r>
        <w:rPr>
          <w:rFonts w:hint="eastAsia" w:ascii="仿宋" w:hAnsi="仿宋" w:eastAsia="仿宋" w:cs="仿宋"/>
          <w:color w:val="auto"/>
          <w:sz w:val="32"/>
          <w:szCs w:val="32"/>
          <w:highlight w:val="none"/>
          <w:shd w:val="clear" w:color="auto" w:fill="FFFFFF"/>
        </w:rPr>
        <w:t>证明到期前必须及时到甲方采购处办理更新备案。</w:t>
      </w:r>
    </w:p>
    <w:p w14:paraId="593FA6CF">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2</w:t>
      </w:r>
      <w:r>
        <w:rPr>
          <w:rFonts w:hint="eastAsia" w:ascii="仿宋" w:hAnsi="仿宋" w:eastAsia="仿宋" w:cs="仿宋"/>
          <w:color w:val="auto"/>
          <w:sz w:val="32"/>
          <w:szCs w:val="32"/>
          <w:highlight w:val="none"/>
          <w:shd w:val="clear" w:color="auto" w:fill="FFFFFF"/>
          <w:lang w:val="en-US" w:eastAsia="zh-CN"/>
        </w:rPr>
        <w:t>.</w:t>
      </w:r>
      <w:r>
        <w:rPr>
          <w:rFonts w:hint="eastAsia" w:ascii="仿宋" w:hAnsi="仿宋" w:eastAsia="仿宋" w:cs="仿宋"/>
          <w:color w:val="auto"/>
          <w:sz w:val="32"/>
          <w:szCs w:val="32"/>
          <w:highlight w:val="none"/>
          <w:shd w:val="clear" w:color="auto" w:fill="FFFFFF"/>
        </w:rPr>
        <w:t>乙方保证所供医用耗材符合政府相关采购、销售管理规定。</w:t>
      </w:r>
    </w:p>
    <w:p w14:paraId="0FD89310">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3</w:t>
      </w:r>
      <w:r>
        <w:rPr>
          <w:rFonts w:hint="eastAsia" w:ascii="仿宋" w:hAnsi="仿宋" w:eastAsia="仿宋" w:cs="仿宋"/>
          <w:color w:val="auto"/>
          <w:sz w:val="32"/>
          <w:szCs w:val="32"/>
          <w:highlight w:val="none"/>
          <w:shd w:val="clear" w:color="auto" w:fill="FFFFFF"/>
          <w:lang w:val="en-US" w:eastAsia="zh-CN"/>
        </w:rPr>
        <w:t>.</w:t>
      </w:r>
      <w:r>
        <w:rPr>
          <w:rFonts w:hint="eastAsia" w:ascii="仿宋" w:hAnsi="仿宋" w:eastAsia="仿宋" w:cs="仿宋"/>
          <w:color w:val="auto"/>
          <w:sz w:val="32"/>
          <w:szCs w:val="32"/>
          <w:highlight w:val="none"/>
          <w:shd w:val="clear" w:color="auto" w:fill="FFFFFF"/>
        </w:rPr>
        <w:t>乙方保证所供医用耗材为符合国家医用耗材质量标准的合格产品，确保临床医疗安全。</w:t>
      </w:r>
    </w:p>
    <w:p w14:paraId="65A4E7AB">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4</w:t>
      </w:r>
      <w:r>
        <w:rPr>
          <w:rFonts w:hint="eastAsia" w:ascii="仿宋" w:hAnsi="仿宋" w:eastAsia="仿宋" w:cs="仿宋"/>
          <w:color w:val="auto"/>
          <w:sz w:val="32"/>
          <w:szCs w:val="32"/>
          <w:highlight w:val="none"/>
          <w:shd w:val="clear" w:color="auto" w:fill="FFFFFF"/>
          <w:lang w:val="en-US" w:eastAsia="zh-CN"/>
        </w:rPr>
        <w:t>.</w:t>
      </w:r>
      <w:r>
        <w:rPr>
          <w:rFonts w:hint="eastAsia" w:ascii="仿宋" w:hAnsi="仿宋" w:eastAsia="仿宋" w:cs="仿宋"/>
          <w:color w:val="auto"/>
          <w:sz w:val="32"/>
          <w:szCs w:val="32"/>
          <w:highlight w:val="none"/>
          <w:shd w:val="clear" w:color="auto" w:fill="FFFFFF"/>
        </w:rPr>
        <w:t>乙方出具的发票必须为符合国家税法规定的正规、有效税务发票；</w:t>
      </w:r>
    </w:p>
    <w:p w14:paraId="6F7CDBF4">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5</w:t>
      </w:r>
      <w:r>
        <w:rPr>
          <w:rFonts w:hint="eastAsia" w:ascii="仿宋" w:hAnsi="仿宋" w:eastAsia="仿宋" w:cs="仿宋"/>
          <w:color w:val="auto"/>
          <w:sz w:val="32"/>
          <w:szCs w:val="32"/>
          <w:highlight w:val="none"/>
          <w:shd w:val="clear" w:color="auto" w:fill="FFFFFF"/>
          <w:lang w:val="en-US" w:eastAsia="zh-CN"/>
        </w:rPr>
        <w:t>.</w:t>
      </w:r>
      <w:r>
        <w:rPr>
          <w:rFonts w:hint="eastAsia" w:ascii="仿宋" w:hAnsi="仿宋" w:eastAsia="仿宋" w:cs="仿宋"/>
          <w:color w:val="auto"/>
          <w:sz w:val="32"/>
          <w:szCs w:val="32"/>
          <w:highlight w:val="none"/>
          <w:shd w:val="clear" w:color="auto" w:fill="FFFFFF"/>
        </w:rPr>
        <w:t>乙方必须保证所供产品价格不高于政府招标价，有多个价时按孰低原则供货。</w:t>
      </w:r>
    </w:p>
    <w:p w14:paraId="55E2A2F6">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6</w:t>
      </w:r>
      <w:r>
        <w:rPr>
          <w:rFonts w:hint="eastAsia" w:ascii="仿宋" w:hAnsi="仿宋" w:eastAsia="仿宋" w:cs="仿宋"/>
          <w:color w:val="auto"/>
          <w:sz w:val="32"/>
          <w:szCs w:val="32"/>
          <w:highlight w:val="none"/>
          <w:shd w:val="clear" w:color="auto" w:fill="FFFFFF"/>
          <w:lang w:val="en-US" w:eastAsia="zh-CN"/>
        </w:rPr>
        <w:t>.</w:t>
      </w:r>
      <w:r>
        <w:rPr>
          <w:rFonts w:hint="eastAsia" w:ascii="仿宋" w:hAnsi="仿宋" w:eastAsia="仿宋" w:cs="仿宋"/>
          <w:color w:val="auto"/>
          <w:sz w:val="32"/>
          <w:szCs w:val="32"/>
          <w:highlight w:val="none"/>
          <w:shd w:val="clear" w:color="auto" w:fill="FFFFFF"/>
        </w:rPr>
        <w:t>乙方须备足货源，确保按上述时限要求及时供货、不延误甲方临床医疗工作；</w:t>
      </w:r>
    </w:p>
    <w:p w14:paraId="613880EC">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val="en-US" w:eastAsia="zh-CN"/>
        </w:rPr>
        <w:t>7.甲方有权利对有效期为半年内的耗材进行退换货处理，乙方不得拒绝。</w:t>
      </w:r>
    </w:p>
    <w:p w14:paraId="48E6EF2D">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lang w:val="en-US" w:eastAsia="zh-CN"/>
        </w:rPr>
        <w:t>8.</w:t>
      </w:r>
      <w:r>
        <w:rPr>
          <w:rFonts w:hint="eastAsia" w:ascii="仿宋" w:hAnsi="仿宋" w:eastAsia="仿宋" w:cs="仿宋"/>
          <w:color w:val="auto"/>
          <w:sz w:val="32"/>
          <w:szCs w:val="32"/>
          <w:highlight w:val="none"/>
          <w:shd w:val="clear" w:color="auto" w:fill="FFFFFF"/>
        </w:rPr>
        <w:t>甲方必须严格按照医院财务付款规定及时办理乙方货款的支付。</w:t>
      </w:r>
    </w:p>
    <w:p w14:paraId="7813B0B9">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lang w:eastAsia="zh-CN"/>
        </w:rPr>
      </w:pPr>
      <w:r>
        <w:rPr>
          <w:rFonts w:hint="eastAsia" w:ascii="仿宋" w:hAnsi="仿宋" w:eastAsia="仿宋" w:cs="仿宋"/>
          <w:color w:val="auto"/>
          <w:sz w:val="32"/>
          <w:szCs w:val="32"/>
          <w:highlight w:val="none"/>
          <w:shd w:val="clear" w:color="auto" w:fill="FFFFFF"/>
          <w:lang w:val="en-US" w:eastAsia="zh-CN"/>
        </w:rPr>
        <w:t xml:space="preserve">9. </w:t>
      </w:r>
      <w:r>
        <w:rPr>
          <w:rFonts w:hint="eastAsia" w:ascii="仿宋" w:hAnsi="仿宋" w:eastAsia="仿宋" w:cs="仿宋"/>
          <w:color w:val="auto"/>
          <w:sz w:val="32"/>
          <w:szCs w:val="32"/>
          <w:highlight w:val="none"/>
          <w:shd w:val="clear" w:color="auto" w:fill="FFFFFF"/>
        </w:rPr>
        <w:t>甲方未列在本次招标需求中，但为开展新增项目所需的新增耗材品类，乙方应提供符合甲方使用需求的耗材（乙方提供不少于3个品牌供甲方选择）</w:t>
      </w:r>
      <w:r>
        <w:rPr>
          <w:rFonts w:hint="eastAsia" w:ascii="仿宋" w:hAnsi="仿宋" w:eastAsia="仿宋" w:cs="仿宋"/>
          <w:color w:val="auto"/>
          <w:sz w:val="32"/>
          <w:szCs w:val="32"/>
          <w:highlight w:val="none"/>
          <w:shd w:val="clear" w:color="auto" w:fill="FFFFFF"/>
          <w:lang w:eastAsia="zh-CN"/>
        </w:rPr>
        <w:t>。</w:t>
      </w:r>
      <w:r>
        <w:rPr>
          <w:rFonts w:hint="eastAsia" w:ascii="仿宋" w:hAnsi="仿宋" w:eastAsia="仿宋" w:cs="仿宋"/>
          <w:color w:val="auto"/>
          <w:sz w:val="32"/>
          <w:szCs w:val="32"/>
          <w:highlight w:val="none"/>
          <w:shd w:val="clear" w:color="auto" w:fill="FFFFFF"/>
        </w:rPr>
        <w:t>价格不得高于</w:t>
      </w:r>
      <w:r>
        <w:rPr>
          <w:rFonts w:hint="eastAsia" w:ascii="仿宋" w:hAnsi="仿宋" w:eastAsia="仿宋" w:cs="仿宋"/>
          <w:color w:val="auto"/>
          <w:sz w:val="32"/>
          <w:szCs w:val="32"/>
          <w:highlight w:val="none"/>
          <w:shd w:val="clear" w:color="auto" w:fill="FFFFFF"/>
          <w:lang w:val="en-US" w:eastAsia="zh-CN"/>
        </w:rPr>
        <w:t>本州内提供其他医院的最低报价</w:t>
      </w:r>
      <w:r>
        <w:rPr>
          <w:rFonts w:hint="eastAsia" w:ascii="仿宋" w:hAnsi="仿宋" w:eastAsia="仿宋" w:cs="仿宋"/>
          <w:color w:val="auto"/>
          <w:sz w:val="32"/>
          <w:szCs w:val="32"/>
          <w:highlight w:val="none"/>
          <w:shd w:val="clear" w:color="auto" w:fill="FFFFFF"/>
        </w:rPr>
        <w:t>，如乙方不能满足甲方的需求，则甲方可自行采购。</w:t>
      </w:r>
    </w:p>
    <w:p w14:paraId="1E795A0E">
      <w:pPr>
        <w:pageBreakBefore w:val="0"/>
        <w:kinsoku/>
        <w:wordWrap/>
        <w:overflowPunct/>
        <w:topLinePunct w:val="0"/>
        <w:bidi w:val="0"/>
        <w:snapToGrid/>
        <w:spacing w:line="560" w:lineRule="exact"/>
        <w:ind w:firstLine="643" w:firstLineChars="200"/>
        <w:rPr>
          <w:rFonts w:hint="eastAsia" w:ascii="黑体" w:hAnsi="黑体" w:eastAsia="黑体" w:cs="黑体"/>
          <w:b/>
          <w:color w:val="auto"/>
          <w:sz w:val="32"/>
          <w:szCs w:val="32"/>
          <w:highlight w:val="none"/>
          <w:shd w:val="clear" w:color="auto" w:fill="FFFFFF"/>
        </w:rPr>
      </w:pPr>
      <w:r>
        <w:rPr>
          <w:rFonts w:hint="eastAsia" w:ascii="黑体" w:hAnsi="黑体" w:eastAsia="黑体" w:cs="黑体"/>
          <w:b/>
          <w:color w:val="auto"/>
          <w:sz w:val="32"/>
          <w:szCs w:val="32"/>
          <w:highlight w:val="none"/>
          <w:shd w:val="clear" w:color="auto" w:fill="FFFFFF"/>
        </w:rPr>
        <w:t>六、违约责任</w:t>
      </w:r>
    </w:p>
    <w:p w14:paraId="3E512C5E">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以上条款双方均应自觉遵守，不得违约。如有违约，违约方应承担由此而给对方所造成的经济损失。</w:t>
      </w:r>
    </w:p>
    <w:p w14:paraId="189806A7">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1</w:t>
      </w:r>
      <w:r>
        <w:rPr>
          <w:rFonts w:hint="eastAsia" w:ascii="仿宋" w:hAnsi="仿宋" w:eastAsia="仿宋" w:cs="仿宋"/>
          <w:color w:val="auto"/>
          <w:sz w:val="32"/>
          <w:szCs w:val="32"/>
          <w:highlight w:val="none"/>
          <w:shd w:val="clear" w:color="auto" w:fill="FFFFFF"/>
          <w:lang w:val="en-US" w:eastAsia="zh-CN"/>
        </w:rPr>
        <w:t>.</w:t>
      </w:r>
      <w:r>
        <w:rPr>
          <w:rFonts w:hint="eastAsia" w:ascii="仿宋" w:hAnsi="仿宋" w:eastAsia="仿宋" w:cs="仿宋"/>
          <w:color w:val="auto"/>
          <w:sz w:val="32"/>
          <w:szCs w:val="32"/>
          <w:highlight w:val="none"/>
          <w:shd w:val="clear" w:color="auto" w:fill="FFFFFF"/>
        </w:rPr>
        <w:t>乙方每次收到甲方计划通知单后均应按甲方计划通知单时限内及时完成配送服务，若不能按时配送的须及时告知甲方，可推迟配送，最迟不得超过24小时，否则每次处以该批次配送产品总金额的5%-30%的罚款，若一年内累计四次及以上不能按时配送的，甲方有权解除合同另行选择配送企业。</w:t>
      </w:r>
    </w:p>
    <w:p w14:paraId="3DEEC40B">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2</w:t>
      </w:r>
      <w:r>
        <w:rPr>
          <w:rFonts w:hint="eastAsia" w:ascii="仿宋" w:hAnsi="仿宋" w:eastAsia="仿宋" w:cs="仿宋"/>
          <w:color w:val="auto"/>
          <w:sz w:val="32"/>
          <w:szCs w:val="32"/>
          <w:highlight w:val="none"/>
          <w:shd w:val="clear" w:color="auto" w:fill="FFFFFF"/>
          <w:lang w:val="en-US" w:eastAsia="zh-CN"/>
        </w:rPr>
        <w:t>.</w:t>
      </w:r>
      <w:r>
        <w:rPr>
          <w:rFonts w:hint="eastAsia" w:ascii="仿宋" w:hAnsi="仿宋" w:eastAsia="仿宋" w:cs="仿宋"/>
          <w:color w:val="auto"/>
          <w:sz w:val="32"/>
          <w:szCs w:val="32"/>
          <w:highlight w:val="none"/>
          <w:shd w:val="clear" w:color="auto" w:fill="FFFFFF"/>
        </w:rPr>
        <w:t>乙方若需解除合同，需提前3个月书面通知甲方，在甲方有后续供应商后，方可终止合同。</w:t>
      </w:r>
    </w:p>
    <w:p w14:paraId="58C391A6">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3</w:t>
      </w:r>
      <w:r>
        <w:rPr>
          <w:rFonts w:hint="eastAsia" w:ascii="仿宋" w:hAnsi="仿宋" w:eastAsia="仿宋" w:cs="仿宋"/>
          <w:color w:val="auto"/>
          <w:sz w:val="32"/>
          <w:szCs w:val="32"/>
          <w:highlight w:val="none"/>
          <w:shd w:val="clear" w:color="auto" w:fill="FFFFFF"/>
          <w:lang w:val="en-US" w:eastAsia="zh-CN"/>
        </w:rPr>
        <w:t>.</w:t>
      </w:r>
      <w:r>
        <w:rPr>
          <w:rFonts w:hint="eastAsia" w:ascii="仿宋" w:hAnsi="仿宋" w:eastAsia="仿宋" w:cs="仿宋"/>
          <w:color w:val="auto"/>
          <w:sz w:val="32"/>
          <w:szCs w:val="32"/>
          <w:highlight w:val="none"/>
          <w:shd w:val="clear" w:color="auto" w:fill="FFFFFF"/>
        </w:rPr>
        <w:t>若乙方供应的产品存在质量问题，应承担因质量问题引发的一切后果，</w:t>
      </w:r>
      <w:r>
        <w:rPr>
          <w:rFonts w:hint="eastAsia" w:ascii="仿宋" w:hAnsi="仿宋" w:eastAsia="仿宋" w:cs="仿宋"/>
          <w:color w:val="auto"/>
          <w:sz w:val="32"/>
          <w:szCs w:val="32"/>
          <w:highlight w:val="none"/>
          <w:shd w:val="clear" w:color="auto" w:fill="FFFFFF"/>
          <w:lang w:eastAsia="zh-CN"/>
        </w:rPr>
        <w:t>若因乙方供应的产品存在</w:t>
      </w:r>
      <w:r>
        <w:rPr>
          <w:rFonts w:hint="eastAsia" w:ascii="仿宋" w:hAnsi="仿宋" w:eastAsia="仿宋" w:cs="仿宋"/>
          <w:color w:val="auto"/>
          <w:sz w:val="32"/>
          <w:szCs w:val="32"/>
          <w:highlight w:val="none"/>
          <w:shd w:val="clear" w:color="auto" w:fill="FFFFFF"/>
          <w:lang w:val="en-US" w:eastAsia="zh-CN"/>
        </w:rPr>
        <w:t>质量</w:t>
      </w:r>
      <w:r>
        <w:rPr>
          <w:rFonts w:hint="eastAsia" w:ascii="仿宋" w:hAnsi="仿宋" w:eastAsia="仿宋" w:cs="仿宋"/>
          <w:color w:val="auto"/>
          <w:sz w:val="32"/>
          <w:szCs w:val="32"/>
          <w:highlight w:val="none"/>
          <w:shd w:val="clear" w:color="auto" w:fill="FFFFFF"/>
          <w:lang w:eastAsia="zh-CN"/>
        </w:rPr>
        <w:t>问题导致甲方造成经济损失的，甲方有权向乙方追偿，</w:t>
      </w:r>
      <w:r>
        <w:rPr>
          <w:rFonts w:hint="eastAsia" w:ascii="仿宋" w:hAnsi="仿宋" w:eastAsia="仿宋" w:cs="仿宋"/>
          <w:color w:val="auto"/>
          <w:sz w:val="32"/>
          <w:szCs w:val="32"/>
          <w:highlight w:val="none"/>
          <w:shd w:val="clear" w:color="auto" w:fill="FFFFFF"/>
        </w:rPr>
        <w:t>必要时甲方有权解除合同。</w:t>
      </w:r>
    </w:p>
    <w:p w14:paraId="29FC02A8">
      <w:pPr>
        <w:pageBreakBefore w:val="0"/>
        <w:kinsoku/>
        <w:wordWrap/>
        <w:overflowPunct/>
        <w:topLinePunct w:val="0"/>
        <w:bidi w:val="0"/>
        <w:snapToGrid/>
        <w:spacing w:line="560" w:lineRule="exact"/>
        <w:ind w:firstLine="643" w:firstLineChars="200"/>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七、价格变更</w:t>
      </w:r>
    </w:p>
    <w:p w14:paraId="27BC0D78">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本合同执行过程中如产品市场价格发生变化，双方另行议价。若协商未达成一致甲方可终止合同。</w:t>
      </w:r>
    </w:p>
    <w:p w14:paraId="60671710">
      <w:pPr>
        <w:pageBreakBefore w:val="0"/>
        <w:kinsoku/>
        <w:wordWrap/>
        <w:overflowPunct/>
        <w:topLinePunct w:val="0"/>
        <w:bidi w:val="0"/>
        <w:snapToGrid/>
        <w:spacing w:line="560" w:lineRule="exact"/>
        <w:ind w:firstLine="643" w:firstLineChars="200"/>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八、合同周期</w:t>
      </w:r>
    </w:p>
    <w:p w14:paraId="1979982A">
      <w:pPr>
        <w:pageBreakBefore w:val="0"/>
        <w:kinsoku/>
        <w:wordWrap/>
        <w:overflowPunct/>
        <w:topLinePunct w:val="0"/>
        <w:bidi w:val="0"/>
        <w:snapToGrid/>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供货期三年，合同一年一签</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本供货合同为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 xml:space="preserve">年（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年  月  日至</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年  月  日），如在合同期间，医院相关管理模式、采购流程改变，甲方可单方终止合同；乙方有违反国家有关政策、法规，违反廉洁协议，产品质量不合格，送货不及时等情况，甲方有权终止本合同。</w:t>
      </w:r>
    </w:p>
    <w:p w14:paraId="2B1B8CD8">
      <w:pPr>
        <w:keepNext w:val="0"/>
        <w:keepLines w:val="0"/>
        <w:pageBreakBefore w:val="0"/>
        <w:kinsoku/>
        <w:wordWrap/>
        <w:overflowPunct/>
        <w:topLinePunct w:val="0"/>
        <w:autoSpaceDE/>
        <w:autoSpaceDN/>
        <w:bidi w:val="0"/>
        <w:adjustRightInd/>
        <w:spacing w:line="5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在供货期间，如遇到国家、省市出台新的医保带量采购政策、或进行集采等政策，与本次采购结果相冲突的，执行国家、省市最新医保带量采购政策或带量采购价格。</w:t>
      </w:r>
    </w:p>
    <w:p w14:paraId="42086E45">
      <w:pPr>
        <w:pStyle w:val="85"/>
        <w:pageBreakBefore w:val="0"/>
        <w:shd w:val="clear" w:color="auto" w:fill="FFFFFF"/>
        <w:kinsoku/>
        <w:wordWrap/>
        <w:overflowPunct/>
        <w:topLinePunct w:val="0"/>
        <w:bidi w:val="0"/>
        <w:snapToGrid/>
        <w:spacing w:before="0" w:beforeAutospacing="0" w:after="0" w:afterAutospacing="0" w:line="560" w:lineRule="exact"/>
        <w:ind w:firstLine="643" w:firstLineChars="200"/>
        <w:rPr>
          <w:rFonts w:hint="eastAsia" w:ascii="黑体" w:hAnsi="黑体" w:eastAsia="黑体" w:cs="黑体"/>
          <w:b/>
          <w:color w:val="auto"/>
          <w:kern w:val="2"/>
          <w:sz w:val="32"/>
          <w:szCs w:val="32"/>
          <w:highlight w:val="none"/>
        </w:rPr>
      </w:pPr>
      <w:r>
        <w:rPr>
          <w:rFonts w:hint="eastAsia" w:ascii="黑体" w:hAnsi="黑体" w:eastAsia="黑体" w:cs="黑体"/>
          <w:b/>
          <w:color w:val="auto"/>
          <w:kern w:val="2"/>
          <w:sz w:val="32"/>
          <w:szCs w:val="32"/>
          <w:highlight w:val="none"/>
        </w:rPr>
        <w:t>九、合同终止</w:t>
      </w:r>
    </w:p>
    <w:p w14:paraId="17870FB8">
      <w:pPr>
        <w:pStyle w:val="85"/>
        <w:pageBreakBefore w:val="0"/>
        <w:shd w:val="clear" w:color="auto" w:fill="FFFFFF"/>
        <w:kinsoku/>
        <w:wordWrap/>
        <w:overflowPunct/>
        <w:topLinePunct w:val="0"/>
        <w:bidi w:val="0"/>
        <w:snapToGrid/>
        <w:spacing w:before="0" w:beforeAutospacing="0" w:after="0" w:afterAutospacing="0" w:line="560" w:lineRule="exact"/>
        <w:ind w:firstLine="480" w:firstLineChars="150"/>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终止合同前，如要续签合同，需乙方提前一个月提出书面申请交甲方，经甲方同意后续签合同。如果不再继续合作的，合同终止。</w:t>
      </w:r>
    </w:p>
    <w:p w14:paraId="5FF85063">
      <w:pPr>
        <w:pageBreakBefore w:val="0"/>
        <w:kinsoku/>
        <w:wordWrap/>
        <w:overflowPunct/>
        <w:topLinePunct w:val="0"/>
        <w:bidi w:val="0"/>
        <w:snapToGrid/>
        <w:spacing w:line="560" w:lineRule="exact"/>
        <w:ind w:firstLine="643" w:firstLineChars="200"/>
        <w:jc w:val="left"/>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十、合同效力</w:t>
      </w:r>
    </w:p>
    <w:p w14:paraId="35EE16A1">
      <w:pPr>
        <w:pageBreakBefore w:val="0"/>
        <w:kinsoku/>
        <w:wordWrap/>
        <w:overflowPunct/>
        <w:topLinePunct w:val="0"/>
        <w:bidi w:val="0"/>
        <w:snapToGrid/>
        <w:spacing w:line="560" w:lineRule="exact"/>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本合同经甲乙双方签字盖章后生效，壹式叁份，甲、乙双方各持壹份，医院财务壹份具有同等法律效力。响应文件属于该合同的一部分，与本合同有同等效力。</w:t>
      </w:r>
    </w:p>
    <w:p w14:paraId="4A9FE386">
      <w:pPr>
        <w:pageBreakBefore w:val="0"/>
        <w:kinsoku/>
        <w:wordWrap/>
        <w:overflowPunct/>
        <w:topLinePunct w:val="0"/>
        <w:bidi w:val="0"/>
        <w:snapToGrid/>
        <w:spacing w:line="560" w:lineRule="exact"/>
        <w:ind w:firstLine="643" w:firstLineChars="200"/>
        <w:jc w:val="left"/>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十一、未尽事宜</w:t>
      </w:r>
    </w:p>
    <w:p w14:paraId="53C43666">
      <w:pPr>
        <w:pStyle w:val="85"/>
        <w:pageBreakBefore w:val="0"/>
        <w:shd w:val="clear" w:color="auto" w:fill="FFFFFF"/>
        <w:kinsoku/>
        <w:wordWrap/>
        <w:overflowPunct/>
        <w:topLinePunct w:val="0"/>
        <w:bidi w:val="0"/>
        <w:snapToGrid/>
        <w:spacing w:before="0" w:beforeAutospacing="0" w:after="0" w:afterAutospacing="0" w:line="560" w:lineRule="exact"/>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本合同未尽事宜，由双方协商解决，协商不成双方可向有管辖权的人民法院提起诉讼。</w:t>
      </w:r>
    </w:p>
    <w:p w14:paraId="54444267">
      <w:pPr>
        <w:pageBreakBefore w:val="0"/>
        <w:kinsoku/>
        <w:wordWrap/>
        <w:overflowPunct/>
        <w:topLinePunct w:val="0"/>
        <w:bidi w:val="0"/>
        <w:snapToGrid/>
        <w:spacing w:line="560" w:lineRule="exact"/>
        <w:ind w:firstLine="643" w:firstLineChars="200"/>
        <w:jc w:val="left"/>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十二、合同供货分项价目表</w:t>
      </w:r>
    </w:p>
    <w:p w14:paraId="398622D6">
      <w:pPr>
        <w:pStyle w:val="85"/>
        <w:pageBreakBefore w:val="0"/>
        <w:shd w:val="clear" w:color="auto" w:fill="FFFFFF"/>
        <w:kinsoku/>
        <w:wordWrap/>
        <w:overflowPunct/>
        <w:topLinePunct w:val="0"/>
        <w:bidi w:val="0"/>
        <w:snapToGrid/>
        <w:spacing w:before="0" w:beforeAutospacing="0" w:after="0" w:afterAutospacing="0" w:line="560" w:lineRule="exact"/>
        <w:ind w:firstLine="640" w:firstLineChars="200"/>
        <w:jc w:val="both"/>
        <w:rPr>
          <w:rFonts w:hint="eastAsia" w:ascii="仿宋" w:hAnsi="仿宋" w:eastAsia="仿宋" w:cs="仿宋"/>
          <w:b w:val="0"/>
          <w:bCs w:val="0"/>
          <w:color w:val="auto"/>
          <w:kern w:val="2"/>
          <w:sz w:val="32"/>
          <w:szCs w:val="32"/>
          <w:highlight w:val="none"/>
        </w:rPr>
      </w:pPr>
      <w:r>
        <w:rPr>
          <w:rFonts w:hint="eastAsia" w:ascii="仿宋" w:hAnsi="仿宋" w:eastAsia="仿宋" w:cs="仿宋"/>
          <w:b w:val="0"/>
          <w:bCs w:val="0"/>
          <w:color w:val="auto"/>
          <w:kern w:val="2"/>
          <w:sz w:val="32"/>
          <w:szCs w:val="32"/>
          <w:highlight w:val="none"/>
          <w:lang w:val="en-US" w:eastAsia="zh-CN"/>
        </w:rPr>
        <w:t>见普通耗材目录附件一</w:t>
      </w:r>
    </w:p>
    <w:p w14:paraId="1CA2108D">
      <w:pPr>
        <w:pStyle w:val="85"/>
        <w:pageBreakBefore w:val="0"/>
        <w:shd w:val="clear" w:color="auto" w:fill="FFFFFF"/>
        <w:kinsoku/>
        <w:wordWrap/>
        <w:overflowPunct/>
        <w:topLinePunct w:val="0"/>
        <w:bidi w:val="0"/>
        <w:snapToGrid/>
        <w:spacing w:before="0" w:beforeAutospacing="0" w:after="0" w:afterAutospacing="0" w:line="560" w:lineRule="exact"/>
        <w:ind w:firstLine="643" w:firstLineChars="200"/>
        <w:rPr>
          <w:rFonts w:hint="eastAsia" w:ascii="仿宋" w:hAnsi="仿宋" w:eastAsia="仿宋" w:cs="仿宋"/>
          <w:color w:val="auto"/>
          <w:kern w:val="2"/>
          <w:sz w:val="32"/>
          <w:szCs w:val="32"/>
          <w:highlight w:val="none"/>
        </w:rPr>
      </w:pPr>
      <w:r>
        <w:rPr>
          <w:rFonts w:hint="eastAsia" w:ascii="仿宋" w:hAnsi="仿宋" w:eastAsia="仿宋" w:cs="仿宋"/>
          <w:b/>
          <w:color w:val="auto"/>
          <w:kern w:val="2"/>
          <w:sz w:val="32"/>
          <w:szCs w:val="32"/>
          <w:highlight w:val="none"/>
        </w:rPr>
        <w:t>十三</w:t>
      </w:r>
      <w:r>
        <w:rPr>
          <w:rFonts w:hint="eastAsia" w:ascii="仿宋" w:hAnsi="仿宋" w:eastAsia="仿宋" w:cs="仿宋"/>
          <w:color w:val="auto"/>
          <w:kern w:val="2"/>
          <w:sz w:val="32"/>
          <w:szCs w:val="32"/>
          <w:highlight w:val="none"/>
        </w:rPr>
        <w:t>、附属于本合同的“廉洁购销合同”、“质量保证书”作为本合同的两个附件，具有同等法律效力。任何合同主体或当事人须严格遵守“廉洁购销合同”相关条款，若出现违规行为相关行为人承担一切后果。</w:t>
      </w:r>
    </w:p>
    <w:p w14:paraId="4DFE5E63">
      <w:pPr>
        <w:pageBreakBefore w:val="0"/>
        <w:kinsoku/>
        <w:wordWrap/>
        <w:overflowPunct/>
        <w:topLinePunct w:val="0"/>
        <w:bidi w:val="0"/>
        <w:snapToGrid/>
        <w:spacing w:line="560" w:lineRule="exact"/>
        <w:ind w:firstLine="585"/>
        <w:rPr>
          <w:rFonts w:hint="eastAsia" w:ascii="仿宋" w:hAnsi="仿宋" w:eastAsia="仿宋" w:cs="仿宋"/>
          <w:color w:val="auto"/>
          <w:kern w:val="2"/>
          <w:sz w:val="32"/>
          <w:szCs w:val="32"/>
          <w:highlight w:val="none"/>
        </w:rPr>
      </w:pPr>
      <w:r>
        <w:rPr>
          <w:rFonts w:hint="eastAsia" w:ascii="仿宋" w:hAnsi="仿宋" w:eastAsia="仿宋" w:cs="仿宋"/>
          <w:b/>
          <w:color w:val="auto"/>
          <w:kern w:val="2"/>
          <w:sz w:val="32"/>
          <w:szCs w:val="32"/>
          <w:highlight w:val="none"/>
        </w:rPr>
        <w:t>十四</w:t>
      </w:r>
      <w:r>
        <w:rPr>
          <w:rFonts w:hint="eastAsia" w:ascii="仿宋" w:hAnsi="仿宋" w:eastAsia="仿宋" w:cs="仿宋"/>
          <w:color w:val="auto"/>
          <w:kern w:val="2"/>
          <w:sz w:val="32"/>
          <w:szCs w:val="32"/>
          <w:highlight w:val="none"/>
        </w:rPr>
        <w:t>、本合同及“廉洁购销合同”、“质量保证书”一式</w:t>
      </w:r>
      <w:r>
        <w:rPr>
          <w:rFonts w:hint="eastAsia" w:ascii="仿宋" w:hAnsi="仿宋" w:eastAsia="仿宋" w:cs="仿宋"/>
          <w:color w:val="auto"/>
          <w:kern w:val="2"/>
          <w:sz w:val="32"/>
          <w:szCs w:val="32"/>
          <w:highlight w:val="none"/>
          <w:lang w:val="en-US" w:eastAsia="zh-CN"/>
        </w:rPr>
        <w:t>五</w:t>
      </w:r>
      <w:r>
        <w:rPr>
          <w:rFonts w:hint="eastAsia" w:ascii="仿宋" w:hAnsi="仿宋" w:eastAsia="仿宋" w:cs="仿宋"/>
          <w:color w:val="auto"/>
          <w:kern w:val="2"/>
          <w:sz w:val="32"/>
          <w:szCs w:val="32"/>
          <w:highlight w:val="none"/>
        </w:rPr>
        <w:t>份，甲方</w:t>
      </w:r>
      <w:r>
        <w:rPr>
          <w:rFonts w:hint="eastAsia" w:ascii="仿宋" w:hAnsi="仿宋" w:eastAsia="仿宋" w:cs="仿宋"/>
          <w:color w:val="auto"/>
          <w:kern w:val="2"/>
          <w:sz w:val="32"/>
          <w:szCs w:val="32"/>
          <w:highlight w:val="none"/>
          <w:lang w:val="en-US" w:eastAsia="zh-CN"/>
        </w:rPr>
        <w:t>肆</w:t>
      </w:r>
      <w:r>
        <w:rPr>
          <w:rFonts w:hint="eastAsia" w:ascii="仿宋" w:hAnsi="仿宋" w:eastAsia="仿宋" w:cs="仿宋"/>
          <w:color w:val="auto"/>
          <w:kern w:val="2"/>
          <w:sz w:val="32"/>
          <w:szCs w:val="32"/>
          <w:highlight w:val="none"/>
        </w:rPr>
        <w:t>份，乙方一份，具有同等法律效力。</w:t>
      </w:r>
    </w:p>
    <w:p w14:paraId="670C1471">
      <w:pPr>
        <w:pageBreakBefore w:val="0"/>
        <w:kinsoku/>
        <w:wordWrap/>
        <w:overflowPunct/>
        <w:topLinePunct w:val="0"/>
        <w:bidi w:val="0"/>
        <w:snapToGrid/>
        <w:spacing w:line="560" w:lineRule="exact"/>
        <w:ind w:firstLine="585"/>
        <w:rPr>
          <w:rFonts w:hint="eastAsia" w:ascii="仿宋" w:hAnsi="仿宋" w:eastAsia="仿宋" w:cs="仿宋"/>
          <w:color w:val="auto"/>
          <w:kern w:val="2"/>
          <w:sz w:val="32"/>
          <w:szCs w:val="32"/>
          <w:highlight w:val="none"/>
        </w:rPr>
      </w:pPr>
      <w:r>
        <w:rPr>
          <w:rFonts w:hint="eastAsia" w:ascii="仿宋" w:hAnsi="仿宋" w:eastAsia="仿宋" w:cs="仿宋"/>
          <w:b/>
          <w:color w:val="auto"/>
          <w:sz w:val="32"/>
          <w:szCs w:val="32"/>
          <w:highlight w:val="none"/>
        </w:rPr>
        <w:t>十五</w:t>
      </w:r>
      <w:r>
        <w:rPr>
          <w:rFonts w:hint="eastAsia" w:ascii="仿宋" w:hAnsi="仿宋" w:eastAsia="仿宋" w:cs="仿宋"/>
          <w:color w:val="auto"/>
          <w:sz w:val="32"/>
          <w:szCs w:val="32"/>
          <w:highlight w:val="none"/>
        </w:rPr>
        <w:t>、合同签署</w:t>
      </w:r>
    </w:p>
    <w:tbl>
      <w:tblPr>
        <w:tblStyle w:val="34"/>
        <w:tblpPr w:leftFromText="180" w:rightFromText="180" w:vertAnchor="text" w:horzAnchor="page" w:tblpX="1746" w:tblpY="740"/>
        <w:tblOverlap w:val="never"/>
        <w:tblW w:w="97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55"/>
        <w:gridCol w:w="4369"/>
      </w:tblGrid>
      <w:tr w14:paraId="51941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5355" w:type="dxa"/>
            <w:noWrap w:val="0"/>
            <w:vAlign w:val="top"/>
          </w:tcPr>
          <w:p w14:paraId="300D7994">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甲  方</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盖章</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怒江傈僳族自治州中医医院</w:t>
            </w:r>
          </w:p>
        </w:tc>
        <w:tc>
          <w:tcPr>
            <w:tcW w:w="4369" w:type="dxa"/>
            <w:noWrap w:val="0"/>
            <w:vAlign w:val="top"/>
          </w:tcPr>
          <w:p w14:paraId="4AB53BD5">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乙  方</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盖章</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r>
              <w:rPr>
                <w:rFonts w:hint="default" w:ascii="仿宋" w:hAnsi="仿宋" w:eastAsia="仿宋" w:cs="仿宋"/>
                <w:color w:val="auto"/>
                <w:sz w:val="32"/>
                <w:szCs w:val="32"/>
                <w:highlight w:val="none"/>
                <w:u w:val="none"/>
                <w:lang w:val="en-US" w:eastAsia="zh-CN"/>
              </w:rPr>
              <w:t xml:space="preserve"> </w:t>
            </w:r>
          </w:p>
        </w:tc>
      </w:tr>
      <w:tr w14:paraId="2936C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55" w:type="dxa"/>
            <w:noWrap w:val="0"/>
            <w:vAlign w:val="top"/>
          </w:tcPr>
          <w:p w14:paraId="1B409A5F">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单位地址：</w:t>
            </w:r>
            <w:r>
              <w:rPr>
                <w:rFonts w:hint="eastAsia" w:ascii="仿宋" w:hAnsi="仿宋" w:eastAsia="仿宋" w:cs="仿宋"/>
                <w:color w:val="auto"/>
                <w:sz w:val="32"/>
                <w:szCs w:val="32"/>
                <w:highlight w:val="none"/>
                <w:lang w:val="en-US" w:eastAsia="zh-CN"/>
              </w:rPr>
              <w:t>云南省怒江州泸水市大练地街道办大练地村怒江州中医医院</w:t>
            </w:r>
            <w:r>
              <w:rPr>
                <w:rFonts w:hint="eastAsia" w:ascii="仿宋" w:hAnsi="仿宋" w:eastAsia="仿宋" w:cs="仿宋"/>
                <w:color w:val="auto"/>
                <w:sz w:val="32"/>
                <w:szCs w:val="32"/>
                <w:highlight w:val="none"/>
              </w:rPr>
              <w:t xml:space="preserve"> </w:t>
            </w:r>
          </w:p>
        </w:tc>
        <w:tc>
          <w:tcPr>
            <w:tcW w:w="4369" w:type="dxa"/>
            <w:noWrap w:val="0"/>
            <w:vAlign w:val="top"/>
          </w:tcPr>
          <w:p w14:paraId="558DEBE8">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单位地址：</w:t>
            </w:r>
            <w:r>
              <w:rPr>
                <w:rFonts w:hint="default" w:ascii="仿宋" w:hAnsi="仿宋" w:eastAsia="仿宋" w:cs="仿宋"/>
                <w:color w:val="auto"/>
                <w:sz w:val="32"/>
                <w:szCs w:val="32"/>
                <w:highlight w:val="none"/>
                <w:lang w:val="en-US" w:eastAsia="zh-CN"/>
              </w:rPr>
              <w:t xml:space="preserve"> </w:t>
            </w:r>
          </w:p>
        </w:tc>
      </w:tr>
      <w:tr w14:paraId="62C7A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55" w:type="dxa"/>
            <w:noWrap w:val="0"/>
            <w:vAlign w:val="top"/>
          </w:tcPr>
          <w:p w14:paraId="516889AB">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w:t>
            </w:r>
            <w:r>
              <w:rPr>
                <w:rFonts w:hint="eastAsia" w:ascii="仿宋" w:hAnsi="仿宋" w:eastAsia="仿宋" w:cs="仿宋"/>
                <w:color w:val="auto"/>
                <w:sz w:val="32"/>
                <w:szCs w:val="32"/>
                <w:highlight w:val="none"/>
                <w:lang w:val="en-US" w:eastAsia="zh-CN"/>
              </w:rPr>
              <w:t>或</w:t>
            </w:r>
            <w:r>
              <w:rPr>
                <w:rFonts w:hint="eastAsia" w:ascii="仿宋" w:hAnsi="仿宋" w:eastAsia="仿宋" w:cs="仿宋"/>
                <w:color w:val="auto"/>
                <w:sz w:val="32"/>
                <w:szCs w:val="32"/>
                <w:highlight w:val="none"/>
              </w:rPr>
              <w:t xml:space="preserve">委托代理人：     </w:t>
            </w:r>
          </w:p>
        </w:tc>
        <w:tc>
          <w:tcPr>
            <w:tcW w:w="4369" w:type="dxa"/>
            <w:noWrap w:val="0"/>
            <w:vAlign w:val="top"/>
          </w:tcPr>
          <w:p w14:paraId="32329336">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w:t>
            </w:r>
            <w:r>
              <w:rPr>
                <w:rFonts w:hint="eastAsia" w:ascii="仿宋" w:hAnsi="仿宋" w:eastAsia="仿宋" w:cs="仿宋"/>
                <w:color w:val="auto"/>
                <w:sz w:val="32"/>
                <w:szCs w:val="32"/>
                <w:highlight w:val="none"/>
                <w:lang w:val="en-US" w:eastAsia="zh-CN"/>
              </w:rPr>
              <w:t>或</w:t>
            </w:r>
            <w:r>
              <w:rPr>
                <w:rFonts w:hint="eastAsia" w:ascii="仿宋" w:hAnsi="仿宋" w:eastAsia="仿宋" w:cs="仿宋"/>
                <w:color w:val="auto"/>
                <w:sz w:val="32"/>
                <w:szCs w:val="32"/>
                <w:highlight w:val="none"/>
              </w:rPr>
              <w:t xml:space="preserve">委托代理人：         </w:t>
            </w:r>
          </w:p>
        </w:tc>
      </w:tr>
      <w:tr w14:paraId="31B02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55" w:type="dxa"/>
            <w:noWrap w:val="0"/>
            <w:vAlign w:val="top"/>
          </w:tcPr>
          <w:p w14:paraId="4A2590F5">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p>
        </w:tc>
        <w:tc>
          <w:tcPr>
            <w:tcW w:w="4369" w:type="dxa"/>
            <w:noWrap w:val="0"/>
            <w:vAlign w:val="top"/>
          </w:tcPr>
          <w:p w14:paraId="13A3EF96">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p>
        </w:tc>
      </w:tr>
      <w:tr w14:paraId="34336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55" w:type="dxa"/>
            <w:noWrap w:val="0"/>
            <w:vAlign w:val="top"/>
          </w:tcPr>
          <w:p w14:paraId="1BB8F267">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电    话：   </w:t>
            </w:r>
            <w:r>
              <w:rPr>
                <w:rFonts w:hint="eastAsia" w:ascii="仿宋" w:hAnsi="仿宋" w:eastAsia="仿宋" w:cs="仿宋"/>
                <w:color w:val="auto"/>
                <w:sz w:val="32"/>
                <w:szCs w:val="32"/>
                <w:highlight w:val="none"/>
                <w:lang w:val="en-US" w:eastAsia="zh-CN"/>
              </w:rPr>
              <w:t>0886-3051880</w:t>
            </w:r>
            <w:r>
              <w:rPr>
                <w:rFonts w:hint="eastAsia" w:ascii="仿宋" w:hAnsi="仿宋" w:eastAsia="仿宋" w:cs="仿宋"/>
                <w:color w:val="auto"/>
                <w:sz w:val="32"/>
                <w:szCs w:val="32"/>
                <w:highlight w:val="none"/>
              </w:rPr>
              <w:t xml:space="preserve">   </w:t>
            </w:r>
          </w:p>
        </w:tc>
        <w:tc>
          <w:tcPr>
            <w:tcW w:w="4369" w:type="dxa"/>
            <w:noWrap w:val="0"/>
            <w:vAlign w:val="top"/>
          </w:tcPr>
          <w:p w14:paraId="6B258FD4">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电    话：</w:t>
            </w:r>
            <w:r>
              <w:rPr>
                <w:rFonts w:hint="default"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 </w:t>
            </w:r>
          </w:p>
        </w:tc>
      </w:tr>
      <w:tr w14:paraId="25DED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55" w:type="dxa"/>
            <w:noWrap w:val="0"/>
            <w:vAlign w:val="top"/>
          </w:tcPr>
          <w:p w14:paraId="78C25FA1">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开户银行：</w:t>
            </w:r>
            <w:r>
              <w:rPr>
                <w:rFonts w:hint="eastAsia" w:ascii="仿宋" w:hAnsi="仿宋" w:eastAsia="仿宋" w:cs="仿宋"/>
                <w:color w:val="auto"/>
                <w:sz w:val="32"/>
                <w:szCs w:val="32"/>
                <w:highlight w:val="none"/>
                <w:lang w:val="en-US" w:eastAsia="zh-CN"/>
              </w:rPr>
              <w:t>建行六库人民路支行</w:t>
            </w:r>
            <w:r>
              <w:rPr>
                <w:rFonts w:hint="eastAsia" w:ascii="仿宋" w:hAnsi="仿宋" w:eastAsia="仿宋" w:cs="仿宋"/>
                <w:color w:val="auto"/>
                <w:sz w:val="32"/>
                <w:szCs w:val="32"/>
                <w:highlight w:val="none"/>
              </w:rPr>
              <w:t xml:space="preserve">      </w:t>
            </w:r>
          </w:p>
        </w:tc>
        <w:tc>
          <w:tcPr>
            <w:tcW w:w="4369" w:type="dxa"/>
            <w:noWrap w:val="0"/>
            <w:vAlign w:val="top"/>
          </w:tcPr>
          <w:p w14:paraId="446264E0">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开户银行：</w:t>
            </w:r>
            <w:r>
              <w:rPr>
                <w:rFonts w:hint="default" w:ascii="仿宋" w:hAnsi="仿宋" w:eastAsia="仿宋" w:cs="仿宋"/>
                <w:color w:val="auto"/>
                <w:sz w:val="32"/>
                <w:szCs w:val="32"/>
                <w:highlight w:val="none"/>
                <w:lang w:val="en-US" w:eastAsia="zh-CN"/>
              </w:rPr>
              <w:t xml:space="preserve"> </w:t>
            </w:r>
          </w:p>
        </w:tc>
      </w:tr>
      <w:tr w14:paraId="77C70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55" w:type="dxa"/>
            <w:noWrap w:val="0"/>
            <w:vAlign w:val="top"/>
          </w:tcPr>
          <w:p w14:paraId="245AD59D">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账    号： </w:t>
            </w:r>
            <w:r>
              <w:rPr>
                <w:rFonts w:hint="eastAsia" w:ascii="仿宋" w:hAnsi="仿宋" w:eastAsia="仿宋" w:cs="仿宋"/>
                <w:color w:val="auto"/>
                <w:sz w:val="32"/>
                <w:szCs w:val="32"/>
                <w:highlight w:val="none"/>
                <w:lang w:val="en-US" w:eastAsia="zh-CN"/>
              </w:rPr>
              <w:t>53001756136050524166</w:t>
            </w:r>
            <w:r>
              <w:rPr>
                <w:rFonts w:hint="eastAsia" w:ascii="仿宋" w:hAnsi="仿宋" w:eastAsia="仿宋" w:cs="仿宋"/>
                <w:color w:val="auto"/>
                <w:sz w:val="32"/>
                <w:szCs w:val="32"/>
                <w:highlight w:val="none"/>
              </w:rPr>
              <w:t xml:space="preserve">           </w:t>
            </w:r>
          </w:p>
        </w:tc>
        <w:tc>
          <w:tcPr>
            <w:tcW w:w="4369" w:type="dxa"/>
            <w:noWrap w:val="0"/>
            <w:vAlign w:val="top"/>
          </w:tcPr>
          <w:p w14:paraId="312C7421">
            <w:pPr>
              <w:keepNext w:val="0"/>
              <w:keepLines w:val="0"/>
              <w:pageBreakBefore w:val="0"/>
              <w:widowControl w:val="0"/>
              <w:kinsoku/>
              <w:wordWrap/>
              <w:overflowPunct/>
              <w:topLinePunct w:val="0"/>
              <w:autoSpaceDE/>
              <w:autoSpaceDN/>
              <w:bidi w:val="0"/>
              <w:adjustRightInd/>
              <w:snapToGrid w:val="0"/>
              <w:spacing w:line="700" w:lineRule="exact"/>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账   号：</w:t>
            </w:r>
            <w:r>
              <w:rPr>
                <w:rFonts w:hint="default"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        </w:t>
            </w:r>
          </w:p>
        </w:tc>
      </w:tr>
    </w:tbl>
    <w:p w14:paraId="3E0CD092">
      <w:pPr>
        <w:pStyle w:val="85"/>
        <w:pageBreakBefore w:val="0"/>
        <w:shd w:val="clear" w:color="auto" w:fill="FFFFFF"/>
        <w:kinsoku/>
        <w:wordWrap/>
        <w:overflowPunct/>
        <w:topLinePunct w:val="0"/>
        <w:bidi w:val="0"/>
        <w:snapToGrid/>
        <w:spacing w:before="0" w:beforeAutospacing="0" w:after="0" w:afterAutospacing="0" w:line="500" w:lineRule="exact"/>
        <w:rPr>
          <w:rFonts w:hint="eastAsia" w:ascii="仿宋" w:hAnsi="仿宋" w:eastAsia="仿宋" w:cs="仿宋"/>
          <w:color w:val="auto"/>
          <w:kern w:val="2"/>
          <w:sz w:val="32"/>
          <w:szCs w:val="32"/>
          <w:highlight w:val="none"/>
        </w:rPr>
        <w:sectPr>
          <w:headerReference r:id="rId12" w:type="default"/>
          <w:footerReference r:id="rId13" w:type="default"/>
          <w:pgSz w:w="11906" w:h="16838"/>
          <w:pgMar w:top="1134" w:right="1134" w:bottom="1134" w:left="1134" w:header="851" w:footer="992" w:gutter="0"/>
          <w:pgNumType w:fmt="decimal"/>
          <w:cols w:space="720" w:num="1"/>
          <w:docGrid w:type="lines" w:linePitch="312" w:charSpace="0"/>
        </w:sectPr>
      </w:pPr>
    </w:p>
    <w:p w14:paraId="555F1993">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仿宋" w:hAnsi="仿宋" w:eastAsia="仿宋"/>
          <w:b/>
          <w:bCs/>
          <w:color w:val="auto"/>
          <w:sz w:val="40"/>
          <w:szCs w:val="40"/>
          <w:highlight w:val="none"/>
        </w:rPr>
      </w:pPr>
      <w:bookmarkStart w:id="210" w:name="_Toc59056995"/>
      <w:r>
        <w:rPr>
          <w:rFonts w:hint="eastAsia" w:ascii="仿宋" w:hAnsi="仿宋" w:eastAsia="仿宋"/>
          <w:b/>
          <w:bCs/>
          <w:color w:val="auto"/>
          <w:sz w:val="40"/>
          <w:szCs w:val="40"/>
          <w:highlight w:val="none"/>
        </w:rPr>
        <w:t>医疗器械、耗材廉洁购销合同</w:t>
      </w:r>
      <w:bookmarkEnd w:id="210"/>
    </w:p>
    <w:p w14:paraId="17E755B6">
      <w:pPr>
        <w:widowControl/>
        <w:shd w:val="clear" w:color="auto" w:fill="FFFFFF"/>
        <w:spacing w:line="360" w:lineRule="auto"/>
        <w:jc w:val="left"/>
        <w:rPr>
          <w:rFonts w:hint="eastAsia" w:ascii="仿宋" w:hAnsi="仿宋" w:eastAsia="仿宋" w:cs="Arial"/>
          <w:color w:val="auto"/>
          <w:sz w:val="28"/>
          <w:szCs w:val="28"/>
          <w:highlight w:val="none"/>
        </w:rPr>
      </w:pPr>
    </w:p>
    <w:p w14:paraId="24ADDED9">
      <w:pPr>
        <w:widowControl/>
        <w:shd w:val="clear" w:color="auto" w:fill="FFFFFF"/>
        <w:spacing w:line="360" w:lineRule="auto"/>
        <w:jc w:val="left"/>
        <w:rPr>
          <w:rFonts w:hint="default" w:ascii="仿宋" w:hAnsi="仿宋" w:eastAsia="仿宋"/>
          <w:color w:val="auto"/>
          <w:highlight w:val="none"/>
          <w:lang w:val="en-US" w:eastAsia="zh-CN"/>
        </w:rPr>
      </w:pPr>
      <w:r>
        <w:rPr>
          <w:rFonts w:hint="eastAsia" w:ascii="仿宋" w:hAnsi="仿宋" w:eastAsia="仿宋" w:cs="Arial"/>
          <w:color w:val="auto"/>
          <w:sz w:val="28"/>
          <w:szCs w:val="28"/>
          <w:highlight w:val="none"/>
        </w:rPr>
        <w:t>合同编号：</w:t>
      </w:r>
    </w:p>
    <w:p w14:paraId="581C44C2">
      <w:pPr>
        <w:spacing w:line="540" w:lineRule="exact"/>
        <w:rPr>
          <w:rFonts w:hint="eastAsia" w:ascii="仿宋" w:hAnsi="仿宋" w:eastAsia="仿宋" w:cs="Times New Roman"/>
          <w:color w:val="auto"/>
          <w:sz w:val="28"/>
          <w:szCs w:val="28"/>
          <w:highlight w:val="none"/>
        </w:rPr>
      </w:pPr>
      <w:r>
        <w:rPr>
          <w:rFonts w:hint="eastAsia" w:ascii="仿宋" w:hAnsi="仿宋" w:eastAsia="仿宋"/>
          <w:color w:val="auto"/>
          <w:sz w:val="28"/>
          <w:szCs w:val="28"/>
          <w:highlight w:val="none"/>
        </w:rPr>
        <w:t>甲方：</w:t>
      </w:r>
      <w:r>
        <w:rPr>
          <w:rFonts w:hint="eastAsia" w:ascii="仿宋" w:hAnsi="仿宋" w:eastAsia="仿宋" w:cs="Times New Roman"/>
          <w:color w:val="auto"/>
          <w:sz w:val="28"/>
          <w:szCs w:val="28"/>
          <w:highlight w:val="none"/>
          <w:lang w:val="en-US" w:eastAsia="zh-CN"/>
        </w:rPr>
        <w:t>怒江傈僳族自治州中医医院</w:t>
      </w:r>
    </w:p>
    <w:p w14:paraId="0A8464CD">
      <w:pPr>
        <w:spacing w:line="540" w:lineRule="exact"/>
        <w:rPr>
          <w:rFonts w:ascii="仿宋" w:hAnsi="仿宋" w:eastAsia="仿宋"/>
          <w:color w:val="auto"/>
          <w:sz w:val="28"/>
          <w:szCs w:val="28"/>
          <w:highlight w:val="none"/>
        </w:rPr>
      </w:pPr>
      <w:r>
        <w:rPr>
          <w:rFonts w:hint="eastAsia" w:ascii="仿宋" w:hAnsi="仿宋" w:eastAsia="仿宋" w:cs="Times New Roman"/>
          <w:color w:val="auto"/>
          <w:sz w:val="28"/>
          <w:szCs w:val="28"/>
          <w:highlight w:val="none"/>
        </w:rPr>
        <w:t>乙方：</w:t>
      </w:r>
      <w:r>
        <w:rPr>
          <w:rFonts w:hint="default" w:ascii="仿宋" w:hAnsi="仿宋" w:eastAsia="仿宋" w:cs="Times New Roman"/>
          <w:color w:val="auto"/>
          <w:sz w:val="28"/>
          <w:szCs w:val="28"/>
          <w:highlight w:val="none"/>
          <w:lang w:val="en-US" w:eastAsia="zh-CN"/>
        </w:rPr>
        <w:t xml:space="preserve"> </w:t>
      </w:r>
      <w:r>
        <w:rPr>
          <w:rFonts w:hint="eastAsia" w:ascii="仿宋" w:hAnsi="仿宋" w:eastAsia="仿宋"/>
          <w:color w:val="auto"/>
          <w:sz w:val="28"/>
          <w:szCs w:val="28"/>
          <w:highlight w:val="none"/>
          <w:u w:val="single"/>
        </w:rPr>
        <w:t xml:space="preserve">            </w:t>
      </w:r>
    </w:p>
    <w:p w14:paraId="52ABB7BD">
      <w:pPr>
        <w:spacing w:line="540" w:lineRule="exact"/>
        <w:ind w:firstLine="672" w:firstLineChars="240"/>
        <w:rPr>
          <w:rFonts w:ascii="仿宋" w:hAnsi="仿宋" w:eastAsia="仿宋"/>
          <w:color w:val="auto"/>
          <w:sz w:val="28"/>
          <w:szCs w:val="28"/>
          <w:highlight w:val="none"/>
        </w:rPr>
      </w:pPr>
      <w:r>
        <w:rPr>
          <w:rFonts w:hint="eastAsia" w:ascii="仿宋" w:hAnsi="仿宋" w:eastAsia="仿宋"/>
          <w:color w:val="auto"/>
          <w:sz w:val="28"/>
          <w:szCs w:val="28"/>
          <w:highlight w:val="none"/>
        </w:rPr>
        <w:t>为进一步加强医疗卫生行风建设，规范医疗卫生机构医疗设备、器械购销行为，有效防范商业贿赂行为，营造公平交易、诚实守信的购销环境，经甲、乙双方协商，同意签订本合同，并共同遵守：</w:t>
      </w:r>
    </w:p>
    <w:p w14:paraId="33F545B7">
      <w:pPr>
        <w:spacing w:line="540" w:lineRule="exact"/>
        <w:ind w:firstLine="420"/>
        <w:rPr>
          <w:rFonts w:ascii="仿宋" w:hAnsi="仿宋" w:eastAsia="仿宋"/>
          <w:color w:val="auto"/>
          <w:sz w:val="28"/>
          <w:szCs w:val="28"/>
          <w:highlight w:val="none"/>
        </w:rPr>
      </w:pPr>
      <w:r>
        <w:rPr>
          <w:rFonts w:hint="eastAsia" w:ascii="仿宋" w:hAnsi="仿宋" w:eastAsia="仿宋"/>
          <w:color w:val="auto"/>
          <w:sz w:val="28"/>
          <w:szCs w:val="28"/>
          <w:highlight w:val="none"/>
        </w:rPr>
        <w:t>一、甲乙双方按照《合同法》及医疗设备、器械购销合同约定购销医用设备、医用耗材等医疗产品。</w:t>
      </w:r>
    </w:p>
    <w:p w14:paraId="12AE062D">
      <w:pPr>
        <w:spacing w:line="540" w:lineRule="exact"/>
        <w:ind w:firstLine="420"/>
        <w:rPr>
          <w:rFonts w:ascii="仿宋" w:hAnsi="仿宋" w:eastAsia="仿宋"/>
          <w:color w:val="auto"/>
          <w:sz w:val="28"/>
          <w:szCs w:val="28"/>
          <w:highlight w:val="none"/>
        </w:rPr>
      </w:pPr>
      <w:r>
        <w:rPr>
          <w:rFonts w:hint="eastAsia" w:ascii="仿宋" w:hAnsi="仿宋" w:eastAsia="仿宋"/>
          <w:color w:val="auto"/>
          <w:sz w:val="28"/>
          <w:szCs w:val="28"/>
          <w:highlight w:val="none"/>
        </w:rPr>
        <w:t>二、甲方应当严格执行医疗设备、器械购销合同验收、入库制度，对采购医疗设备、器械产品及发票进行查验，不得违反有关规定合同外采购、违价采购或从非规定渠道采购。</w:t>
      </w:r>
    </w:p>
    <w:p w14:paraId="3278DF07">
      <w:pPr>
        <w:spacing w:line="540" w:lineRule="exact"/>
        <w:ind w:firstLine="420"/>
        <w:rPr>
          <w:rFonts w:ascii="仿宋" w:hAnsi="仿宋" w:eastAsia="仿宋"/>
          <w:color w:val="auto"/>
          <w:sz w:val="28"/>
          <w:szCs w:val="28"/>
          <w:highlight w:val="none"/>
        </w:rPr>
      </w:pPr>
      <w:r>
        <w:rPr>
          <w:rFonts w:hint="eastAsia" w:ascii="仿宋" w:hAnsi="仿宋" w:eastAsia="仿宋"/>
          <w:color w:val="auto"/>
          <w:sz w:val="28"/>
          <w:szCs w:val="28"/>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59D78F7A">
      <w:pPr>
        <w:spacing w:line="540" w:lineRule="exact"/>
        <w:ind w:firstLine="420"/>
        <w:rPr>
          <w:rFonts w:ascii="仿宋" w:hAnsi="仿宋" w:eastAsia="仿宋"/>
          <w:color w:val="auto"/>
          <w:sz w:val="28"/>
          <w:szCs w:val="28"/>
          <w:highlight w:val="none"/>
        </w:rPr>
      </w:pPr>
      <w:r>
        <w:rPr>
          <w:rFonts w:hint="eastAsia" w:ascii="仿宋" w:hAnsi="仿宋" w:eastAsia="仿宋"/>
          <w:color w:val="auto"/>
          <w:sz w:val="28"/>
          <w:szCs w:val="28"/>
          <w:highlight w:val="none"/>
        </w:rPr>
        <w:t>四、严禁甲方工作人员利用任何途径和方式，为乙方统计医师个人及临床科室有关医疗设备、器械用量信息，或为乙方统计提供便利。</w:t>
      </w:r>
    </w:p>
    <w:p w14:paraId="6CF12AB2">
      <w:pPr>
        <w:spacing w:line="540" w:lineRule="exact"/>
        <w:ind w:firstLine="420"/>
        <w:rPr>
          <w:rFonts w:ascii="仿宋" w:hAnsi="仿宋" w:eastAsia="仿宋"/>
          <w:color w:val="auto"/>
          <w:sz w:val="28"/>
          <w:szCs w:val="28"/>
          <w:highlight w:val="none"/>
        </w:rPr>
      </w:pPr>
      <w:r>
        <w:rPr>
          <w:rFonts w:hint="eastAsia" w:ascii="仿宋" w:hAnsi="仿宋" w:eastAsia="仿宋"/>
          <w:color w:val="auto"/>
          <w:sz w:val="28"/>
          <w:szCs w:val="28"/>
          <w:highlight w:val="none"/>
        </w:rPr>
        <w:t>五、乙方不得以回扣、宴请等方式影响甲方工作人员采购或使用医疗设备、器械产品的选择权，不得在学术活动中提供旅游、超标准支付食宿费用。</w:t>
      </w:r>
    </w:p>
    <w:p w14:paraId="3F53DF05">
      <w:pPr>
        <w:spacing w:line="540" w:lineRule="exact"/>
        <w:ind w:firstLine="420"/>
        <w:rPr>
          <w:rFonts w:ascii="仿宋" w:hAnsi="仿宋" w:eastAsia="仿宋"/>
          <w:color w:val="auto"/>
          <w:sz w:val="28"/>
          <w:szCs w:val="28"/>
          <w:highlight w:val="none"/>
        </w:rPr>
      </w:pPr>
      <w:r>
        <w:rPr>
          <w:rFonts w:hint="eastAsia" w:ascii="仿宋" w:hAnsi="仿宋" w:eastAsia="仿宋"/>
          <w:color w:val="auto"/>
          <w:sz w:val="28"/>
          <w:szCs w:val="28"/>
          <w:highlight w:val="none"/>
        </w:rPr>
        <w:t>六、乙方指定</w:t>
      </w:r>
      <w:r>
        <w:rPr>
          <w:rFonts w:hint="eastAsia" w:ascii="仿宋" w:hAnsi="仿宋" w:eastAsia="仿宋"/>
          <w:color w:val="auto"/>
          <w:sz w:val="28"/>
          <w:szCs w:val="28"/>
          <w:highlight w:val="none"/>
          <w:u w:val="single"/>
        </w:rPr>
        <w:t xml:space="preserve">  </w:t>
      </w:r>
      <w:r>
        <w:rPr>
          <w:rFonts w:hint="default"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，身份证号码</w:t>
      </w:r>
      <w:r>
        <w:rPr>
          <w:rFonts w:hint="eastAsia" w:ascii="仿宋" w:hAnsi="仿宋" w:eastAsia="仿宋"/>
          <w:color w:val="auto"/>
          <w:sz w:val="28"/>
          <w:szCs w:val="28"/>
          <w:highlight w:val="none"/>
          <w:u w:val="single"/>
        </w:rPr>
        <w:t xml:space="preserve"> </w:t>
      </w:r>
      <w:r>
        <w:rPr>
          <w:rFonts w:hint="default"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rPr>
        <w:t>指定地点商谈，不得到住院部、门诊部、医技科室等推销医疗设备、器械产品，不得借故到甲方相关领导、部门负责人及相关工作人员家中访谈并提供任何好处费。</w:t>
      </w:r>
    </w:p>
    <w:p w14:paraId="39C1EB58">
      <w:pPr>
        <w:spacing w:line="540" w:lineRule="exact"/>
        <w:ind w:firstLine="420"/>
        <w:rPr>
          <w:rFonts w:ascii="仿宋" w:hAnsi="仿宋" w:eastAsia="仿宋"/>
          <w:color w:val="auto"/>
          <w:sz w:val="28"/>
          <w:szCs w:val="28"/>
          <w:highlight w:val="none"/>
        </w:rPr>
      </w:pPr>
      <w:r>
        <w:rPr>
          <w:rFonts w:hint="eastAsia" w:ascii="仿宋" w:hAnsi="仿宋" w:eastAsia="仿宋"/>
          <w:color w:val="auto"/>
          <w:sz w:val="28"/>
          <w:szCs w:val="28"/>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500580BC">
      <w:pPr>
        <w:spacing w:line="540" w:lineRule="exact"/>
        <w:ind w:firstLine="420"/>
        <w:rPr>
          <w:rFonts w:ascii="仿宋" w:hAnsi="仿宋" w:eastAsia="仿宋"/>
          <w:color w:val="auto"/>
          <w:sz w:val="28"/>
          <w:szCs w:val="28"/>
          <w:highlight w:val="none"/>
        </w:rPr>
      </w:pPr>
      <w:r>
        <w:rPr>
          <w:rFonts w:hint="eastAsia" w:ascii="仿宋" w:hAnsi="仿宋" w:eastAsia="仿宋"/>
          <w:color w:val="auto"/>
          <w:sz w:val="28"/>
          <w:szCs w:val="28"/>
          <w:highlight w:val="none"/>
        </w:rPr>
        <w:t>八、本合同作为医疗设备、器械产品购销合同的重要组成部分，与购销合同一并执行，具有同等的法律效力。</w:t>
      </w:r>
    </w:p>
    <w:p w14:paraId="015E803D">
      <w:pPr>
        <w:spacing w:line="540" w:lineRule="exact"/>
        <w:ind w:firstLine="420"/>
        <w:rPr>
          <w:rFonts w:ascii="仿宋" w:hAnsi="仿宋" w:eastAsia="仿宋"/>
          <w:color w:val="auto"/>
          <w:sz w:val="28"/>
          <w:szCs w:val="28"/>
          <w:highlight w:val="none"/>
        </w:rPr>
      </w:pPr>
      <w:r>
        <w:rPr>
          <w:rFonts w:hint="eastAsia" w:ascii="仿宋" w:hAnsi="仿宋" w:eastAsia="仿宋"/>
          <w:color w:val="auto"/>
          <w:sz w:val="28"/>
          <w:szCs w:val="28"/>
          <w:highlight w:val="none"/>
        </w:rPr>
        <w:t>九、本合同一式三份，甲、乙双方各执一份，甲方纪检监察部门（基层医疗卫生机构上报上级卫生计生行政部门）执一份，并从签订之日起生效。</w:t>
      </w:r>
    </w:p>
    <w:p w14:paraId="760C45CC">
      <w:pPr>
        <w:rPr>
          <w:rFonts w:ascii="仿宋_GB2312" w:eastAsia="仿宋_GB2312"/>
          <w:color w:val="auto"/>
          <w:sz w:val="28"/>
          <w:szCs w:val="28"/>
          <w:highlight w:val="none"/>
        </w:rPr>
      </w:pPr>
    </w:p>
    <w:p w14:paraId="78E5A619">
      <w:pPr>
        <w:rPr>
          <w:rFonts w:ascii="仿宋_GB2312" w:eastAsia="仿宋_GB2312"/>
          <w:color w:val="auto"/>
          <w:sz w:val="28"/>
          <w:szCs w:val="28"/>
          <w:highlight w:val="none"/>
        </w:rPr>
      </w:pPr>
    </w:p>
    <w:p w14:paraId="41F98CB0">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甲方（盖章）：                    乙方（盖章）：                      </w:t>
      </w:r>
    </w:p>
    <w:p w14:paraId="533A938F">
      <w:pPr>
        <w:rPr>
          <w:rFonts w:ascii="仿宋" w:hAnsi="仿宋" w:eastAsia="仿宋"/>
          <w:b/>
          <w:color w:val="auto"/>
          <w:sz w:val="28"/>
          <w:szCs w:val="28"/>
          <w:highlight w:val="none"/>
        </w:rPr>
      </w:pPr>
      <w:r>
        <w:rPr>
          <w:rFonts w:hint="eastAsia" w:ascii="仿宋" w:hAnsi="仿宋" w:eastAsia="仿宋"/>
          <w:b/>
          <w:color w:val="auto"/>
          <w:sz w:val="28"/>
          <w:szCs w:val="28"/>
          <w:highlight w:val="none"/>
        </w:rPr>
        <w:t>法人或委托代理人：               法人或委托代理人：</w:t>
      </w:r>
    </w:p>
    <w:p w14:paraId="628FBEBA">
      <w:pPr>
        <w:rPr>
          <w:rFonts w:ascii="仿宋" w:hAnsi="仿宋" w:eastAsia="仿宋"/>
          <w:b/>
          <w:color w:val="auto"/>
          <w:sz w:val="28"/>
          <w:szCs w:val="28"/>
          <w:highlight w:val="none"/>
        </w:rPr>
      </w:pPr>
      <w:r>
        <w:rPr>
          <w:rFonts w:hint="eastAsia" w:ascii="仿宋" w:hAnsi="仿宋" w:eastAsia="仿宋"/>
          <w:b/>
          <w:color w:val="auto"/>
          <w:sz w:val="28"/>
          <w:szCs w:val="28"/>
          <w:highlight w:val="none"/>
        </w:rPr>
        <w:t>经办人：                         经办人：</w:t>
      </w:r>
    </w:p>
    <w:p w14:paraId="66620F5C">
      <w:pPr>
        <w:rPr>
          <w:rFonts w:ascii="仿宋" w:hAnsi="仿宋" w:eastAsia="仿宋" w:cs="Arial"/>
          <w:b/>
          <w:bCs/>
          <w:color w:val="auto"/>
          <w:sz w:val="28"/>
          <w:szCs w:val="28"/>
          <w:highlight w:val="none"/>
          <w:shd w:val="clear" w:color="auto" w:fill="F7FCFB"/>
        </w:rPr>
      </w:pPr>
      <w:r>
        <w:rPr>
          <w:rFonts w:hint="eastAsia" w:ascii="仿宋" w:hAnsi="仿宋" w:eastAsia="仿宋"/>
          <w:b/>
          <w:color w:val="auto"/>
          <w:sz w:val="28"/>
          <w:szCs w:val="28"/>
          <w:highlight w:val="none"/>
          <w:u w:val="single"/>
        </w:rPr>
        <w:t xml:space="preserve">     </w:t>
      </w:r>
      <w:r>
        <w:rPr>
          <w:rFonts w:hint="eastAsia" w:ascii="仿宋" w:hAnsi="仿宋" w:eastAsia="仿宋"/>
          <w:b/>
          <w:color w:val="auto"/>
          <w:sz w:val="28"/>
          <w:szCs w:val="28"/>
          <w:highlight w:val="none"/>
        </w:rPr>
        <w:t>年</w:t>
      </w:r>
      <w:r>
        <w:rPr>
          <w:rFonts w:hint="eastAsia" w:ascii="仿宋" w:hAnsi="仿宋" w:eastAsia="仿宋"/>
          <w:b/>
          <w:color w:val="auto"/>
          <w:sz w:val="28"/>
          <w:szCs w:val="28"/>
          <w:highlight w:val="none"/>
          <w:u w:val="single"/>
        </w:rPr>
        <w:t xml:space="preserve">   </w:t>
      </w:r>
      <w:r>
        <w:rPr>
          <w:rFonts w:hint="eastAsia" w:ascii="仿宋" w:hAnsi="仿宋" w:eastAsia="仿宋"/>
          <w:b/>
          <w:color w:val="auto"/>
          <w:sz w:val="28"/>
          <w:szCs w:val="28"/>
          <w:highlight w:val="none"/>
        </w:rPr>
        <w:t>月</w:t>
      </w:r>
      <w:r>
        <w:rPr>
          <w:rFonts w:hint="eastAsia" w:ascii="仿宋" w:hAnsi="仿宋" w:eastAsia="仿宋"/>
          <w:b/>
          <w:color w:val="auto"/>
          <w:sz w:val="28"/>
          <w:szCs w:val="28"/>
          <w:highlight w:val="none"/>
          <w:u w:val="single"/>
        </w:rPr>
        <w:t xml:space="preserve">   </w:t>
      </w:r>
      <w:r>
        <w:rPr>
          <w:rFonts w:hint="eastAsia" w:ascii="仿宋" w:hAnsi="仿宋" w:eastAsia="仿宋"/>
          <w:b/>
          <w:color w:val="auto"/>
          <w:sz w:val="28"/>
          <w:szCs w:val="28"/>
          <w:highlight w:val="none"/>
        </w:rPr>
        <w:t xml:space="preserve">日                </w:t>
      </w:r>
      <w:r>
        <w:rPr>
          <w:rFonts w:hint="eastAsia" w:ascii="仿宋" w:hAnsi="仿宋" w:eastAsia="仿宋"/>
          <w:b/>
          <w:color w:val="auto"/>
          <w:sz w:val="28"/>
          <w:szCs w:val="28"/>
          <w:highlight w:val="none"/>
          <w:u w:val="single"/>
        </w:rPr>
        <w:t xml:space="preserve">     </w:t>
      </w:r>
      <w:r>
        <w:rPr>
          <w:rFonts w:hint="eastAsia" w:ascii="仿宋" w:hAnsi="仿宋" w:eastAsia="仿宋"/>
          <w:b/>
          <w:color w:val="auto"/>
          <w:sz w:val="28"/>
          <w:szCs w:val="28"/>
          <w:highlight w:val="none"/>
        </w:rPr>
        <w:t>年</w:t>
      </w:r>
      <w:r>
        <w:rPr>
          <w:rFonts w:hint="eastAsia" w:ascii="仿宋" w:hAnsi="仿宋" w:eastAsia="仿宋"/>
          <w:b/>
          <w:color w:val="auto"/>
          <w:sz w:val="28"/>
          <w:szCs w:val="28"/>
          <w:highlight w:val="none"/>
          <w:u w:val="single"/>
        </w:rPr>
        <w:t xml:space="preserve">   </w:t>
      </w:r>
      <w:r>
        <w:rPr>
          <w:rFonts w:hint="eastAsia" w:ascii="仿宋" w:hAnsi="仿宋" w:eastAsia="仿宋"/>
          <w:b/>
          <w:color w:val="auto"/>
          <w:sz w:val="28"/>
          <w:szCs w:val="28"/>
          <w:highlight w:val="none"/>
        </w:rPr>
        <w:t>月</w:t>
      </w:r>
      <w:r>
        <w:rPr>
          <w:rFonts w:hint="eastAsia" w:ascii="仿宋" w:hAnsi="仿宋" w:eastAsia="仿宋"/>
          <w:b/>
          <w:color w:val="auto"/>
          <w:sz w:val="28"/>
          <w:szCs w:val="28"/>
          <w:highlight w:val="none"/>
          <w:u w:val="single"/>
        </w:rPr>
        <w:t xml:space="preserve">   </w:t>
      </w:r>
      <w:r>
        <w:rPr>
          <w:rFonts w:hint="eastAsia" w:ascii="仿宋" w:hAnsi="仿宋" w:eastAsia="仿宋"/>
          <w:b/>
          <w:color w:val="auto"/>
          <w:sz w:val="28"/>
          <w:szCs w:val="28"/>
          <w:highlight w:val="none"/>
        </w:rPr>
        <w:t>日</w:t>
      </w:r>
    </w:p>
    <w:p w14:paraId="5AD4186B">
      <w:pPr>
        <w:rPr>
          <w:rFonts w:ascii="仿宋" w:hAnsi="仿宋" w:eastAsia="仿宋"/>
          <w:b/>
          <w:color w:val="auto"/>
          <w:sz w:val="44"/>
          <w:szCs w:val="44"/>
          <w:highlight w:val="none"/>
          <w:shd w:val="clear" w:color="auto" w:fill="FFFFFF"/>
        </w:rPr>
      </w:pPr>
    </w:p>
    <w:p w14:paraId="0095731A">
      <w:pPr>
        <w:rPr>
          <w:rFonts w:ascii="仿宋" w:hAnsi="仿宋" w:eastAsia="仿宋"/>
          <w:b/>
          <w:color w:val="auto"/>
          <w:sz w:val="44"/>
          <w:szCs w:val="44"/>
          <w:highlight w:val="none"/>
          <w:shd w:val="clear" w:color="auto" w:fill="FFFFFF"/>
        </w:rPr>
      </w:pPr>
    </w:p>
    <w:p w14:paraId="043FEEC8">
      <w:pPr>
        <w:snapToGrid w:val="0"/>
        <w:spacing w:line="500" w:lineRule="exact"/>
        <w:ind w:right="40" w:rightChars="19"/>
        <w:jc w:val="both"/>
        <w:rPr>
          <w:rFonts w:hint="eastAsia" w:ascii="宋体" w:hAnsi="宋体" w:eastAsia="宋体" w:cs="宋体"/>
          <w:b/>
          <w:color w:val="auto"/>
          <w:sz w:val="44"/>
          <w:szCs w:val="44"/>
          <w:highlight w:val="none"/>
        </w:rPr>
      </w:pPr>
    </w:p>
    <w:p w14:paraId="29C10ADB">
      <w:pPr>
        <w:snapToGrid w:val="0"/>
        <w:spacing w:line="500" w:lineRule="exact"/>
        <w:ind w:right="40" w:rightChars="19" w:firstLine="1325" w:firstLineChars="300"/>
        <w:jc w:val="both"/>
        <w:rPr>
          <w:rFonts w:hint="eastAsia" w:ascii="宋体" w:hAnsi="宋体" w:eastAsia="宋体" w:cs="宋体"/>
          <w:b/>
          <w:color w:val="auto"/>
          <w:sz w:val="44"/>
          <w:szCs w:val="44"/>
          <w:highlight w:val="none"/>
        </w:rPr>
      </w:pPr>
    </w:p>
    <w:p w14:paraId="4C2BBEF5">
      <w:pPr>
        <w:snapToGrid w:val="0"/>
        <w:spacing w:line="500" w:lineRule="exact"/>
        <w:ind w:right="40" w:rightChars="19" w:firstLine="1325" w:firstLineChars="300"/>
        <w:jc w:val="both"/>
        <w:rPr>
          <w:rFonts w:hint="eastAsia" w:ascii="宋体" w:hAnsi="宋体" w:eastAsia="宋体" w:cs="宋体"/>
          <w:b/>
          <w:color w:val="auto"/>
          <w:sz w:val="44"/>
          <w:szCs w:val="44"/>
          <w:highlight w:val="none"/>
        </w:rPr>
      </w:pPr>
    </w:p>
    <w:p w14:paraId="33CAB9F5">
      <w:pPr>
        <w:snapToGrid w:val="0"/>
        <w:spacing w:line="500" w:lineRule="exact"/>
        <w:ind w:right="40" w:rightChars="19" w:firstLine="1325" w:firstLineChars="300"/>
        <w:jc w:val="both"/>
        <w:rPr>
          <w:rFonts w:hint="eastAsia" w:ascii="宋体" w:hAnsi="宋体" w:eastAsia="宋体" w:cs="宋体"/>
          <w:b/>
          <w:color w:val="auto"/>
          <w:sz w:val="44"/>
          <w:szCs w:val="44"/>
          <w:highlight w:val="none"/>
          <w:lang w:eastAsia="zh-CN"/>
        </w:rPr>
      </w:pPr>
    </w:p>
    <w:p w14:paraId="110F4F41">
      <w:pPr>
        <w:snapToGrid w:val="0"/>
        <w:spacing w:line="500" w:lineRule="exact"/>
        <w:ind w:right="40" w:rightChars="19"/>
        <w:jc w:val="both"/>
        <w:rPr>
          <w:rFonts w:hint="eastAsia" w:ascii="宋体" w:hAnsi="宋体" w:eastAsia="宋体" w:cs="宋体"/>
          <w:b/>
          <w:color w:val="auto"/>
          <w:sz w:val="44"/>
          <w:szCs w:val="44"/>
          <w:highlight w:val="none"/>
          <w:lang w:eastAsia="zh-CN"/>
        </w:rPr>
      </w:pPr>
    </w:p>
    <w:p w14:paraId="5D9AB76A">
      <w:pPr>
        <w:snapToGrid w:val="0"/>
        <w:spacing w:line="500" w:lineRule="exact"/>
        <w:ind w:right="40" w:rightChars="19" w:firstLine="1325" w:firstLineChars="300"/>
        <w:jc w:val="both"/>
        <w:rPr>
          <w:rFonts w:hint="eastAsia" w:ascii="宋体" w:hAnsi="宋体" w:eastAsia="宋体" w:cs="宋体"/>
          <w:b/>
          <w:color w:val="auto"/>
          <w:sz w:val="44"/>
          <w:szCs w:val="44"/>
          <w:highlight w:val="none"/>
        </w:rPr>
      </w:pPr>
    </w:p>
    <w:p w14:paraId="30D49DBA">
      <w:pPr>
        <w:rPr>
          <w:rFonts w:hint="eastAsia" w:ascii="仿宋" w:hAnsi="仿宋" w:eastAsia="仿宋" w:cs="仿宋_GB2312"/>
          <w:b/>
          <w:bCs/>
          <w:color w:val="auto"/>
          <w:sz w:val="36"/>
          <w:szCs w:val="36"/>
          <w:highlight w:val="none"/>
          <w:lang w:val="zh-CN"/>
        </w:rPr>
      </w:pPr>
      <w:r>
        <w:rPr>
          <w:rFonts w:hint="eastAsia" w:ascii="仿宋" w:hAnsi="仿宋" w:eastAsia="仿宋" w:cs="仿宋_GB2312"/>
          <w:b/>
          <w:bCs/>
          <w:color w:val="auto"/>
          <w:sz w:val="36"/>
          <w:szCs w:val="36"/>
          <w:highlight w:val="none"/>
          <w:lang w:val="zh-CN"/>
        </w:rPr>
        <w:br w:type="page"/>
      </w:r>
    </w:p>
    <w:p w14:paraId="2B1DD566">
      <w:pPr>
        <w:autoSpaceDE w:val="0"/>
        <w:autoSpaceDN w:val="0"/>
        <w:adjustRightInd w:val="0"/>
        <w:spacing w:before="100" w:after="100" w:line="500" w:lineRule="exact"/>
        <w:ind w:firstLine="723" w:firstLineChars="200"/>
        <w:jc w:val="center"/>
        <w:rPr>
          <w:rFonts w:hint="eastAsia" w:ascii="仿宋" w:hAnsi="仿宋" w:eastAsia="仿宋" w:cs="仿宋_GB2312"/>
          <w:b/>
          <w:bCs/>
          <w:color w:val="auto"/>
          <w:sz w:val="36"/>
          <w:szCs w:val="36"/>
          <w:highlight w:val="none"/>
          <w:lang w:val="zh-CN"/>
        </w:rPr>
      </w:pPr>
      <w:r>
        <w:rPr>
          <w:rFonts w:hint="eastAsia" w:ascii="仿宋" w:hAnsi="仿宋" w:eastAsia="仿宋" w:cs="仿宋_GB2312"/>
          <w:b/>
          <w:bCs/>
          <w:color w:val="auto"/>
          <w:sz w:val="36"/>
          <w:szCs w:val="36"/>
          <w:highlight w:val="none"/>
          <w:lang w:val="zh-CN"/>
        </w:rPr>
        <w:t>医疗器械、耗材购销质量保证书</w:t>
      </w:r>
    </w:p>
    <w:p w14:paraId="1226156E">
      <w:pPr>
        <w:widowControl/>
        <w:shd w:val="clear" w:color="auto" w:fill="FFFFFF"/>
        <w:spacing w:line="500" w:lineRule="exact"/>
        <w:jc w:val="left"/>
        <w:rPr>
          <w:rFonts w:ascii="仿宋" w:hAnsi="仿宋" w:eastAsia="仿宋" w:cs="仿宋_GB2312"/>
          <w:color w:val="auto"/>
          <w:sz w:val="28"/>
          <w:szCs w:val="28"/>
          <w:highlight w:val="none"/>
          <w:lang w:val="zh-CN"/>
        </w:rPr>
      </w:pPr>
      <w:r>
        <w:rPr>
          <w:rFonts w:hint="eastAsia" w:ascii="仿宋_GB2312" w:hAnsi="Arial" w:eastAsia="仿宋_GB2312" w:cs="Arial"/>
          <w:b/>
          <w:color w:val="auto"/>
          <w:sz w:val="28"/>
          <w:szCs w:val="28"/>
          <w:highlight w:val="none"/>
        </w:rPr>
        <w:t xml:space="preserve">     </w:t>
      </w:r>
      <w:r>
        <w:rPr>
          <w:rFonts w:hint="eastAsia" w:ascii="仿宋" w:hAnsi="仿宋" w:eastAsia="仿宋" w:cs="仿宋_GB2312"/>
          <w:color w:val="auto"/>
          <w:sz w:val="28"/>
          <w:szCs w:val="28"/>
          <w:highlight w:val="none"/>
          <w:lang w:val="zh-CN"/>
        </w:rPr>
        <w:t>根据采购合同，为确保供货质量，保证临床医疗安全，依照《医疗器械监督管理条例》及相关法律法规，本公司严格遵守各项法律法规，确保产品经销操作规程的有效性，并对所销售的产品质量向院方作如下承诺：</w:t>
      </w:r>
    </w:p>
    <w:p w14:paraId="15ADF7A2">
      <w:pPr>
        <w:autoSpaceDE w:val="0"/>
        <w:autoSpaceDN w:val="0"/>
        <w:adjustRightInd w:val="0"/>
        <w:spacing w:before="100" w:after="100" w:line="500" w:lineRule="exact"/>
        <w:ind w:firstLine="560" w:firstLineChars="200"/>
        <w:jc w:val="left"/>
        <w:rPr>
          <w:rFonts w:ascii="仿宋" w:hAnsi="仿宋" w:eastAsia="仿宋"/>
          <w:color w:val="auto"/>
          <w:sz w:val="28"/>
          <w:szCs w:val="28"/>
          <w:highlight w:val="none"/>
        </w:rPr>
      </w:pPr>
      <w:r>
        <w:rPr>
          <w:rFonts w:hint="eastAsia" w:ascii="仿宋" w:hAnsi="仿宋" w:eastAsia="仿宋" w:cs="仿宋_GB2312"/>
          <w:color w:val="auto"/>
          <w:sz w:val="28"/>
          <w:szCs w:val="28"/>
          <w:highlight w:val="none"/>
          <w:lang w:val="zh-CN"/>
        </w:rPr>
        <w:t>一、</w:t>
      </w:r>
      <w:r>
        <w:rPr>
          <w:rFonts w:hint="eastAsia" w:ascii="仿宋" w:hAnsi="仿宋" w:eastAsia="仿宋"/>
          <w:color w:val="auto"/>
          <w:sz w:val="28"/>
          <w:szCs w:val="28"/>
          <w:highlight w:val="none"/>
        </w:rPr>
        <w:t>本公司</w:t>
      </w:r>
      <w:r>
        <w:rPr>
          <w:rFonts w:hint="eastAsia" w:ascii="仿宋" w:hAnsi="仿宋" w:eastAsia="仿宋" w:cs="仿宋_GB2312"/>
          <w:color w:val="auto"/>
          <w:sz w:val="28"/>
          <w:szCs w:val="28"/>
          <w:highlight w:val="none"/>
          <w:lang w:val="zh-CN"/>
        </w:rPr>
        <w:t>保证向</w:t>
      </w:r>
      <w:r>
        <w:rPr>
          <w:rFonts w:hint="eastAsia" w:ascii="仿宋" w:hAnsi="仿宋" w:eastAsia="仿宋"/>
          <w:color w:val="auto"/>
          <w:sz w:val="28"/>
          <w:szCs w:val="28"/>
          <w:highlight w:val="none"/>
        </w:rPr>
        <w:t>院方</w:t>
      </w:r>
      <w:r>
        <w:rPr>
          <w:rFonts w:hint="eastAsia" w:ascii="仿宋" w:hAnsi="仿宋" w:eastAsia="仿宋" w:cs="仿宋_GB2312"/>
          <w:color w:val="auto"/>
          <w:sz w:val="28"/>
          <w:szCs w:val="28"/>
          <w:highlight w:val="none"/>
          <w:lang w:val="zh-CN"/>
        </w:rPr>
        <w:t>所提供的产品为符合国家相关质量标准和行业标准的合格产品，以确保临床医疗安全。</w:t>
      </w:r>
    </w:p>
    <w:p w14:paraId="66AD8F47">
      <w:pPr>
        <w:autoSpaceDE w:val="0"/>
        <w:autoSpaceDN w:val="0"/>
        <w:adjustRightInd w:val="0"/>
        <w:spacing w:before="100" w:after="100" w:line="500" w:lineRule="exact"/>
        <w:ind w:firstLine="560" w:firstLineChars="200"/>
        <w:jc w:val="left"/>
        <w:rPr>
          <w:rFonts w:ascii="仿宋" w:hAnsi="仿宋" w:eastAsia="仿宋"/>
          <w:color w:val="auto"/>
          <w:sz w:val="28"/>
          <w:szCs w:val="28"/>
          <w:highlight w:val="none"/>
        </w:rPr>
      </w:pPr>
      <w:r>
        <w:rPr>
          <w:rFonts w:hint="eastAsia" w:ascii="仿宋" w:hAnsi="仿宋" w:eastAsia="仿宋" w:cs="仿宋_GB2312"/>
          <w:color w:val="auto"/>
          <w:sz w:val="28"/>
          <w:szCs w:val="28"/>
          <w:highlight w:val="none"/>
          <w:lang w:val="zh-CN"/>
        </w:rPr>
        <w:t>二、产品的包装，标识，标签，说明书等符合国家和行业的有关规定。</w:t>
      </w:r>
    </w:p>
    <w:p w14:paraId="541C690D">
      <w:pPr>
        <w:autoSpaceDE w:val="0"/>
        <w:autoSpaceDN w:val="0"/>
        <w:adjustRightInd w:val="0"/>
        <w:spacing w:before="100" w:after="100" w:line="500" w:lineRule="exact"/>
        <w:ind w:firstLine="560" w:firstLineChars="200"/>
        <w:jc w:val="left"/>
        <w:rPr>
          <w:rFonts w:ascii="仿宋" w:hAnsi="仿宋" w:eastAsia="仿宋"/>
          <w:color w:val="auto"/>
          <w:sz w:val="28"/>
          <w:szCs w:val="28"/>
          <w:highlight w:val="none"/>
        </w:rPr>
      </w:pPr>
      <w:r>
        <w:rPr>
          <w:rFonts w:hint="eastAsia" w:ascii="仿宋" w:hAnsi="仿宋" w:eastAsia="仿宋" w:cs="仿宋_GB2312"/>
          <w:color w:val="auto"/>
          <w:sz w:val="28"/>
          <w:szCs w:val="28"/>
          <w:highlight w:val="none"/>
          <w:lang w:val="zh-CN"/>
        </w:rPr>
        <w:t>三、院方首次</w:t>
      </w:r>
      <w:r>
        <w:rPr>
          <w:rFonts w:ascii="仿宋" w:hAnsi="仿宋" w:eastAsia="仿宋"/>
          <w:color w:val="auto"/>
          <w:sz w:val="28"/>
          <w:szCs w:val="28"/>
          <w:highlight w:val="none"/>
        </w:rPr>
        <w:t>购入</w:t>
      </w:r>
      <w:r>
        <w:rPr>
          <w:rFonts w:hint="eastAsia" w:ascii="仿宋" w:hAnsi="仿宋" w:eastAsia="仿宋"/>
          <w:color w:val="auto"/>
          <w:sz w:val="28"/>
          <w:szCs w:val="28"/>
          <w:highlight w:val="none"/>
        </w:rPr>
        <w:t>本公司</w:t>
      </w:r>
      <w:r>
        <w:rPr>
          <w:rFonts w:hint="eastAsia" w:ascii="仿宋" w:hAnsi="仿宋" w:eastAsia="仿宋" w:cs="仿宋_GB2312"/>
          <w:color w:val="auto"/>
          <w:sz w:val="28"/>
          <w:szCs w:val="28"/>
          <w:highlight w:val="none"/>
          <w:lang w:val="zh-CN"/>
        </w:rPr>
        <w:t>产品</w:t>
      </w:r>
      <w:r>
        <w:rPr>
          <w:rFonts w:ascii="仿宋" w:hAnsi="仿宋" w:eastAsia="仿宋"/>
          <w:color w:val="auto"/>
          <w:sz w:val="28"/>
          <w:szCs w:val="28"/>
          <w:highlight w:val="none"/>
        </w:rPr>
        <w:t>时，</w:t>
      </w:r>
      <w:r>
        <w:rPr>
          <w:rFonts w:hint="eastAsia" w:ascii="仿宋" w:hAnsi="仿宋" w:eastAsia="仿宋"/>
          <w:color w:val="auto"/>
          <w:sz w:val="28"/>
          <w:szCs w:val="28"/>
          <w:highlight w:val="none"/>
        </w:rPr>
        <w:t>本公司</w:t>
      </w:r>
      <w:r>
        <w:rPr>
          <w:rFonts w:ascii="仿宋" w:hAnsi="仿宋" w:eastAsia="仿宋"/>
          <w:color w:val="auto"/>
          <w:sz w:val="28"/>
          <w:szCs w:val="28"/>
          <w:highlight w:val="none"/>
        </w:rPr>
        <w:t>向</w:t>
      </w:r>
      <w:r>
        <w:rPr>
          <w:rFonts w:hint="eastAsia" w:ascii="仿宋" w:hAnsi="仿宋" w:eastAsia="仿宋" w:cs="仿宋_GB2312"/>
          <w:color w:val="auto"/>
          <w:sz w:val="28"/>
          <w:szCs w:val="28"/>
          <w:highlight w:val="none"/>
          <w:lang w:val="zh-CN"/>
        </w:rPr>
        <w:t>院方</w:t>
      </w:r>
      <w:r>
        <w:rPr>
          <w:rFonts w:ascii="仿宋" w:hAnsi="仿宋" w:eastAsia="仿宋"/>
          <w:color w:val="auto"/>
          <w:sz w:val="28"/>
          <w:szCs w:val="28"/>
          <w:highlight w:val="none"/>
        </w:rPr>
        <w:t>提供齐备有效的相关资质证照，并对其提供各类资证</w:t>
      </w:r>
      <w:r>
        <w:rPr>
          <w:rFonts w:hint="eastAsia" w:ascii="仿宋" w:hAnsi="仿宋" w:eastAsia="仿宋" w:cs="仿宋_GB2312"/>
          <w:color w:val="auto"/>
          <w:sz w:val="28"/>
          <w:szCs w:val="28"/>
          <w:highlight w:val="none"/>
          <w:lang w:val="zh-CN"/>
        </w:rPr>
        <w:t>的真实性、合法性承担法律责任。相关资证到期前一个月及时到院方办理资证的更新备案，如到期未办理，本公司承担一切后果。</w:t>
      </w:r>
    </w:p>
    <w:p w14:paraId="1CA3435A">
      <w:pPr>
        <w:autoSpaceDE w:val="0"/>
        <w:autoSpaceDN w:val="0"/>
        <w:adjustRightInd w:val="0"/>
        <w:spacing w:before="100" w:after="100" w:line="500" w:lineRule="exact"/>
        <w:ind w:firstLine="560" w:firstLineChars="200"/>
        <w:jc w:val="left"/>
        <w:rPr>
          <w:rFonts w:ascii="仿宋" w:hAnsi="仿宋" w:eastAsia="仿宋"/>
          <w:color w:val="auto"/>
          <w:sz w:val="28"/>
          <w:szCs w:val="28"/>
          <w:highlight w:val="none"/>
        </w:rPr>
      </w:pPr>
      <w:r>
        <w:rPr>
          <w:rFonts w:hint="eastAsia" w:ascii="仿宋" w:hAnsi="仿宋" w:eastAsia="仿宋" w:cs="仿宋_GB2312"/>
          <w:color w:val="auto"/>
          <w:sz w:val="28"/>
          <w:szCs w:val="28"/>
          <w:highlight w:val="none"/>
          <w:lang w:val="zh-CN"/>
        </w:rPr>
        <w:t>四、产品到货后，院方按标准进行验收，如发现任何质量问题，由本公司无条件进行免费更换。</w:t>
      </w:r>
    </w:p>
    <w:p w14:paraId="237DB9B5">
      <w:pPr>
        <w:autoSpaceDE w:val="0"/>
        <w:autoSpaceDN w:val="0"/>
        <w:adjustRightInd w:val="0"/>
        <w:spacing w:before="100" w:after="100" w:line="500" w:lineRule="exact"/>
        <w:ind w:firstLine="560" w:firstLineChars="200"/>
        <w:jc w:val="left"/>
        <w:rPr>
          <w:rFonts w:ascii="仿宋" w:hAnsi="仿宋" w:eastAsia="仿宋"/>
          <w:color w:val="auto"/>
          <w:sz w:val="28"/>
          <w:szCs w:val="28"/>
          <w:highlight w:val="none"/>
        </w:rPr>
      </w:pPr>
      <w:r>
        <w:rPr>
          <w:rFonts w:hint="eastAsia" w:ascii="仿宋" w:hAnsi="仿宋" w:eastAsia="仿宋" w:cs="仿宋_GB2312"/>
          <w:color w:val="auto"/>
          <w:sz w:val="28"/>
          <w:szCs w:val="28"/>
          <w:highlight w:val="none"/>
          <w:lang w:val="zh-CN"/>
        </w:rPr>
        <w:t>五、若因本公司产品质量问题造成院方医疗纠纷或经济损失的，由本公司负责退货并承担因此导致的一切经济和法律责任。</w:t>
      </w:r>
    </w:p>
    <w:p w14:paraId="5A4A904F">
      <w:pPr>
        <w:autoSpaceDE w:val="0"/>
        <w:autoSpaceDN w:val="0"/>
        <w:adjustRightInd w:val="0"/>
        <w:spacing w:before="100" w:after="100" w:line="500" w:lineRule="exact"/>
        <w:ind w:firstLine="560" w:firstLineChars="200"/>
        <w:jc w:val="left"/>
        <w:rPr>
          <w:rFonts w:ascii="仿宋" w:hAnsi="仿宋" w:eastAsia="仿宋"/>
          <w:color w:val="auto"/>
          <w:sz w:val="28"/>
          <w:szCs w:val="28"/>
          <w:highlight w:val="none"/>
        </w:rPr>
      </w:pPr>
      <w:r>
        <w:rPr>
          <w:rFonts w:hint="eastAsia" w:ascii="仿宋" w:hAnsi="仿宋" w:eastAsia="仿宋" w:cs="仿宋_GB2312"/>
          <w:color w:val="auto"/>
          <w:sz w:val="28"/>
          <w:szCs w:val="28"/>
          <w:highlight w:val="none"/>
          <w:lang w:val="zh-CN"/>
        </w:rPr>
        <w:t>六、因本公司夸大产品的功能与疗效，造成院方医疗纠纷或经济损失的，院方有权向本公司进行追偿。</w:t>
      </w:r>
    </w:p>
    <w:p w14:paraId="611C4593">
      <w:pPr>
        <w:autoSpaceDE w:val="0"/>
        <w:autoSpaceDN w:val="0"/>
        <w:adjustRightInd w:val="0"/>
        <w:spacing w:before="100" w:after="100" w:line="500" w:lineRule="exact"/>
        <w:ind w:firstLine="560" w:firstLineChars="200"/>
        <w:jc w:val="left"/>
        <w:rPr>
          <w:rFonts w:ascii="仿宋" w:hAnsi="仿宋" w:eastAsia="仿宋"/>
          <w:color w:val="auto"/>
          <w:sz w:val="28"/>
          <w:szCs w:val="28"/>
          <w:highlight w:val="none"/>
        </w:rPr>
      </w:pPr>
      <w:r>
        <w:rPr>
          <w:rFonts w:hint="eastAsia" w:ascii="仿宋" w:hAnsi="仿宋" w:eastAsia="仿宋" w:cs="仿宋_GB2312"/>
          <w:color w:val="auto"/>
          <w:sz w:val="28"/>
          <w:szCs w:val="28"/>
          <w:highlight w:val="none"/>
          <w:lang w:val="zh-CN"/>
        </w:rPr>
        <w:t>七、有关产品的售后服务由本公司全权负责。</w:t>
      </w:r>
    </w:p>
    <w:p w14:paraId="3CE51C4B">
      <w:pPr>
        <w:snapToGrid w:val="0"/>
        <w:spacing w:line="500" w:lineRule="exact"/>
        <w:ind w:right="40" w:rightChars="19" w:firstLine="560" w:firstLineChars="200"/>
        <w:jc w:val="left"/>
        <w:rPr>
          <w:rFonts w:hint="eastAsia" w:ascii="仿宋" w:hAnsi="仿宋" w:eastAsia="仿宋"/>
          <w:b/>
          <w:color w:val="auto"/>
          <w:sz w:val="28"/>
          <w:szCs w:val="28"/>
          <w:highlight w:val="none"/>
        </w:rPr>
      </w:pPr>
      <w:r>
        <w:rPr>
          <w:rFonts w:hint="eastAsia" w:ascii="仿宋" w:hAnsi="仿宋" w:eastAsia="仿宋"/>
          <w:color w:val="auto"/>
          <w:sz w:val="28"/>
          <w:szCs w:val="28"/>
          <w:highlight w:val="none"/>
        </w:rPr>
        <w:t>八、本质量保证书自供货协议签订后生效。</w:t>
      </w:r>
      <w:r>
        <w:rPr>
          <w:rFonts w:hint="eastAsia" w:ascii="仿宋" w:hAnsi="仿宋" w:eastAsia="仿宋"/>
          <w:b/>
          <w:color w:val="auto"/>
          <w:sz w:val="28"/>
          <w:szCs w:val="28"/>
          <w:highlight w:val="none"/>
        </w:rPr>
        <w:t xml:space="preserve">                 </w:t>
      </w:r>
    </w:p>
    <w:p w14:paraId="5FA8DA1D">
      <w:pPr>
        <w:snapToGrid w:val="0"/>
        <w:spacing w:line="500" w:lineRule="exact"/>
        <w:ind w:right="40" w:rightChars="19" w:firstLine="5060" w:firstLineChars="1800"/>
        <w:jc w:val="left"/>
        <w:rPr>
          <w:rFonts w:ascii="仿宋" w:hAnsi="仿宋" w:eastAsia="仿宋"/>
          <w:b/>
          <w:color w:val="auto"/>
          <w:sz w:val="24"/>
          <w:highlight w:val="none"/>
        </w:rPr>
      </w:pPr>
      <w:r>
        <w:rPr>
          <w:rFonts w:hint="eastAsia" w:ascii="仿宋" w:hAnsi="仿宋" w:eastAsia="仿宋"/>
          <w:b/>
          <w:color w:val="auto"/>
          <w:sz w:val="28"/>
          <w:szCs w:val="28"/>
          <w:highlight w:val="none"/>
        </w:rPr>
        <w:t>公司名称</w:t>
      </w:r>
      <w:r>
        <w:rPr>
          <w:rFonts w:hint="eastAsia" w:ascii="仿宋" w:hAnsi="仿宋" w:eastAsia="仿宋" w:cs="仿宋"/>
          <w:b/>
          <w:color w:val="auto"/>
          <w:sz w:val="28"/>
          <w:szCs w:val="28"/>
          <w:highlight w:val="none"/>
        </w:rPr>
        <w:t>（签章）</w:t>
      </w:r>
      <w:r>
        <w:rPr>
          <w:rFonts w:hint="eastAsia" w:ascii="仿宋" w:hAnsi="仿宋" w:eastAsia="仿宋"/>
          <w:b/>
          <w:color w:val="auto"/>
          <w:sz w:val="28"/>
          <w:szCs w:val="28"/>
          <w:highlight w:val="none"/>
        </w:rPr>
        <w:t>：</w:t>
      </w:r>
    </w:p>
    <w:p w14:paraId="0EF1979D">
      <w:pPr>
        <w:rPr>
          <w:rFonts w:hint="eastAsia"/>
          <w:color w:val="auto"/>
          <w:sz w:val="24"/>
          <w:highlight w:val="none"/>
        </w:rPr>
      </w:pPr>
      <w:r>
        <w:rPr>
          <w:rFonts w:hint="eastAsia" w:ascii="仿宋" w:hAnsi="仿宋" w:eastAsia="仿宋"/>
          <w:b/>
          <w:color w:val="auto"/>
          <w:sz w:val="28"/>
          <w:szCs w:val="28"/>
          <w:highlight w:val="none"/>
        </w:rPr>
        <w:t>日期：</w:t>
      </w:r>
      <w:r>
        <w:rPr>
          <w:rFonts w:hint="eastAsia" w:ascii="仿宋" w:hAnsi="仿宋" w:eastAsia="仿宋"/>
          <w:b/>
          <w:color w:val="auto"/>
          <w:sz w:val="28"/>
          <w:szCs w:val="28"/>
          <w:highlight w:val="none"/>
          <w:u w:val="single"/>
        </w:rPr>
        <w:t xml:space="preserve">     </w:t>
      </w:r>
      <w:r>
        <w:rPr>
          <w:rFonts w:hint="eastAsia" w:ascii="仿宋" w:hAnsi="仿宋" w:eastAsia="仿宋"/>
          <w:b/>
          <w:color w:val="auto"/>
          <w:sz w:val="28"/>
          <w:szCs w:val="28"/>
          <w:highlight w:val="none"/>
        </w:rPr>
        <w:t>年</w:t>
      </w:r>
      <w:r>
        <w:rPr>
          <w:rFonts w:hint="eastAsia" w:ascii="仿宋" w:hAnsi="仿宋" w:eastAsia="仿宋"/>
          <w:b/>
          <w:color w:val="auto"/>
          <w:sz w:val="28"/>
          <w:szCs w:val="28"/>
          <w:highlight w:val="none"/>
          <w:u w:val="single"/>
        </w:rPr>
        <w:t xml:space="preserve">   </w:t>
      </w:r>
      <w:r>
        <w:rPr>
          <w:rFonts w:hint="eastAsia" w:ascii="仿宋" w:hAnsi="仿宋" w:eastAsia="仿宋"/>
          <w:b/>
          <w:color w:val="auto"/>
          <w:sz w:val="28"/>
          <w:szCs w:val="28"/>
          <w:highlight w:val="none"/>
        </w:rPr>
        <w:t>月</w:t>
      </w:r>
      <w:r>
        <w:rPr>
          <w:rFonts w:hint="eastAsia" w:ascii="仿宋" w:hAnsi="仿宋" w:eastAsia="仿宋"/>
          <w:b/>
          <w:color w:val="auto"/>
          <w:sz w:val="28"/>
          <w:szCs w:val="28"/>
          <w:highlight w:val="none"/>
          <w:u w:val="single"/>
        </w:rPr>
        <w:t xml:space="preserve">   </w:t>
      </w:r>
      <w:r>
        <w:rPr>
          <w:rFonts w:hint="eastAsia" w:ascii="仿宋" w:hAnsi="仿宋" w:eastAsia="仿宋"/>
          <w:b/>
          <w:color w:val="auto"/>
          <w:sz w:val="28"/>
          <w:szCs w:val="28"/>
          <w:highlight w:val="none"/>
        </w:rPr>
        <w:t>日</w:t>
      </w:r>
    </w:p>
    <w:p w14:paraId="7D51DAD6">
      <w:pPr>
        <w:rPr>
          <w:rFonts w:hint="eastAsia" w:ascii="宋体" w:hAnsi="宋体" w:cs="宋体"/>
          <w:color w:val="auto"/>
          <w:highlight w:val="none"/>
        </w:rPr>
      </w:pPr>
    </w:p>
    <w:p w14:paraId="31E37CC6">
      <w:pPr>
        <w:rPr>
          <w:rFonts w:hint="eastAsia" w:ascii="宋体" w:hAnsi="宋体" w:cs="宋体"/>
          <w:color w:val="auto"/>
          <w:highlight w:val="none"/>
        </w:rPr>
      </w:pPr>
      <w:r>
        <w:rPr>
          <w:rFonts w:hint="eastAsia" w:ascii="宋体" w:hAnsi="宋体" w:cs="宋体"/>
          <w:color w:val="auto"/>
          <w:highlight w:val="none"/>
        </w:rPr>
        <w:br w:type="page"/>
      </w:r>
    </w:p>
    <w:p w14:paraId="205F3939">
      <w:pPr>
        <w:pStyle w:val="2"/>
        <w:spacing w:before="0" w:after="0" w:line="360" w:lineRule="auto"/>
        <w:jc w:val="center"/>
        <w:rPr>
          <w:rFonts w:hint="eastAsia" w:ascii="宋体" w:hAnsi="宋体" w:cs="宋体"/>
          <w:color w:val="auto"/>
          <w:highlight w:val="none"/>
        </w:rPr>
      </w:pPr>
      <w:bookmarkStart w:id="211" w:name="_Toc8275"/>
      <w:r>
        <w:rPr>
          <w:rFonts w:hint="eastAsia" w:ascii="宋体" w:hAnsi="宋体" w:cs="宋体"/>
          <w:color w:val="auto"/>
          <w:highlight w:val="none"/>
        </w:rPr>
        <w:t xml:space="preserve">第六章 </w:t>
      </w:r>
      <w:bookmarkEnd w:id="207"/>
      <w:r>
        <w:rPr>
          <w:rFonts w:hint="eastAsia" w:ascii="宋体" w:hAnsi="宋体" w:cs="宋体"/>
          <w:color w:val="auto"/>
          <w:highlight w:val="none"/>
        </w:rPr>
        <w:t>服务内容及要求</w:t>
      </w:r>
      <w:bookmarkEnd w:id="211"/>
    </w:p>
    <w:p w14:paraId="2376A3B9">
      <w:pPr>
        <w:keepNext w:val="0"/>
        <w:keepLines w:val="0"/>
        <w:pageBreakBefore w:val="0"/>
        <w:kinsoku/>
        <w:wordWrap/>
        <w:overflowPunct/>
        <w:topLinePunct w:val="0"/>
        <w:autoSpaceDE/>
        <w:autoSpaceDN/>
        <w:bidi w:val="0"/>
        <w:adjustRightInd/>
        <w:snapToGrid w:val="0"/>
        <w:spacing w:before="156" w:line="500" w:lineRule="exact"/>
        <w:contextualSpacing/>
        <w:textAlignment w:val="auto"/>
        <w:rPr>
          <w:rFonts w:ascii="Arial" w:hAnsi="Arial" w:cs="Arial"/>
          <w:b/>
          <w:color w:val="auto"/>
          <w:sz w:val="24"/>
          <w:szCs w:val="24"/>
          <w:highlight w:val="none"/>
        </w:rPr>
      </w:pPr>
      <w:bookmarkStart w:id="212" w:name="_Toc17654"/>
      <w:bookmarkEnd w:id="212"/>
      <w:bookmarkStart w:id="213" w:name="_Toc19163"/>
      <w:bookmarkEnd w:id="213"/>
      <w:bookmarkStart w:id="214" w:name="_Toc22642"/>
      <w:bookmarkStart w:id="215" w:name="_Toc24075"/>
      <w:r>
        <w:rPr>
          <w:rFonts w:hint="eastAsia" w:ascii="Arial" w:hAnsi="Arial" w:cs="Arial"/>
          <w:b/>
          <w:color w:val="auto"/>
          <w:sz w:val="24"/>
          <w:szCs w:val="24"/>
          <w:highlight w:val="none"/>
        </w:rPr>
        <w:t>（一）采购标的需实现的功能或者目标</w:t>
      </w:r>
    </w:p>
    <w:p w14:paraId="26700D21">
      <w:pPr>
        <w:pStyle w:val="7"/>
        <w:keepNext w:val="0"/>
        <w:keepLines w:val="0"/>
        <w:pageBreakBefore w:val="0"/>
        <w:kinsoku/>
        <w:wordWrap/>
        <w:overflowPunct/>
        <w:topLinePunct w:val="0"/>
        <w:autoSpaceDE/>
        <w:autoSpaceDN/>
        <w:bidi w:val="0"/>
        <w:adjustRightInd/>
        <w:spacing w:line="500" w:lineRule="exact"/>
        <w:ind w:firstLine="482" w:firstLineChars="200"/>
        <w:textAlignment w:val="auto"/>
        <w:rPr>
          <w:rFonts w:hint="eastAsia" w:hAnsi="宋体" w:cs="宋体"/>
          <w:color w:val="auto"/>
          <w:kern w:val="2"/>
          <w:sz w:val="24"/>
          <w:szCs w:val="24"/>
          <w:highlight w:val="none"/>
          <w:lang w:bidi="ar"/>
        </w:rPr>
      </w:pPr>
      <w:r>
        <w:rPr>
          <w:rFonts w:hint="eastAsia" w:hAnsi="宋体" w:cs="宋体"/>
          <w:b/>
          <w:bCs/>
          <w:color w:val="auto"/>
          <w:sz w:val="24"/>
          <w:highlight w:val="none"/>
        </w:rPr>
        <w:t>1.采购标的需实现的功能或者目标</w:t>
      </w:r>
    </w:p>
    <w:p w14:paraId="27F9F63D">
      <w:pPr>
        <w:pStyle w:val="7"/>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hAnsi="宋体" w:cs="宋体"/>
          <w:color w:val="auto"/>
          <w:kern w:val="2"/>
          <w:sz w:val="24"/>
          <w:szCs w:val="24"/>
          <w:highlight w:val="none"/>
          <w:lang w:bidi="ar"/>
        </w:rPr>
      </w:pPr>
      <w:r>
        <w:rPr>
          <w:rFonts w:hint="eastAsia" w:hAnsi="宋体" w:cs="宋体"/>
          <w:color w:val="auto"/>
          <w:kern w:val="2"/>
          <w:sz w:val="24"/>
          <w:szCs w:val="24"/>
          <w:highlight w:val="none"/>
          <w:lang w:bidi="ar"/>
        </w:rPr>
        <w:t>满足怒江州中医医院2025-2028年耗材配送服务</w:t>
      </w:r>
      <w:r>
        <w:rPr>
          <w:rFonts w:hint="eastAsia" w:hAnsi="宋体" w:cs="宋体"/>
          <w:color w:val="auto"/>
          <w:sz w:val="24"/>
          <w:highlight w:val="none"/>
        </w:rPr>
        <w:t>需要</w:t>
      </w:r>
      <w:r>
        <w:rPr>
          <w:rFonts w:hint="eastAsia" w:hAnsi="宋体" w:cs="宋体"/>
          <w:color w:val="auto"/>
          <w:kern w:val="2"/>
          <w:sz w:val="24"/>
          <w:szCs w:val="24"/>
          <w:highlight w:val="none"/>
          <w:lang w:bidi="ar"/>
        </w:rPr>
        <w:t>。</w:t>
      </w:r>
    </w:p>
    <w:p w14:paraId="4615FF17">
      <w:pPr>
        <w:keepNext w:val="0"/>
        <w:keepLines w:val="0"/>
        <w:pageBreakBefore w:val="0"/>
        <w:kinsoku/>
        <w:wordWrap/>
        <w:overflowPunct/>
        <w:topLinePunct w:val="0"/>
        <w:autoSpaceDE/>
        <w:autoSpaceDN/>
        <w:bidi w:val="0"/>
        <w:adjustRightInd/>
        <w:spacing w:line="500" w:lineRule="exact"/>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2.为落实政府采购政策需满足的要求</w:t>
      </w:r>
    </w:p>
    <w:p w14:paraId="44E14F04">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(1)</w:t>
      </w:r>
      <w:r>
        <w:rPr>
          <w:rFonts w:hint="eastAsia" w:ascii="宋体" w:hAnsi="宋体" w:cs="宋体"/>
          <w:bCs/>
          <w:color w:val="auto"/>
          <w:sz w:val="24"/>
          <w:szCs w:val="24"/>
          <w:highlight w:val="none"/>
        </w:rPr>
        <w:t>促进中小企业发展政策：根据《政府采购促进中小企业发展暂行办法》规定，本项目投标人所</w:t>
      </w:r>
      <w:r>
        <w:rPr>
          <w:rFonts w:hint="eastAsia" w:ascii="宋体" w:hAnsi="宋体" w:cs="宋体"/>
          <w:bCs/>
          <w:color w:val="auto"/>
          <w:sz w:val="24"/>
          <w:szCs w:val="24"/>
          <w:highlight w:val="none"/>
          <w:lang w:val="en-US" w:eastAsia="zh-CN"/>
        </w:rPr>
        <w:t>提供服务</w:t>
      </w:r>
      <w:r>
        <w:rPr>
          <w:rFonts w:hint="eastAsia" w:ascii="宋体" w:hAnsi="宋体" w:cs="宋体"/>
          <w:bCs/>
          <w:color w:val="auto"/>
          <w:sz w:val="24"/>
          <w:szCs w:val="24"/>
          <w:highlight w:val="none"/>
        </w:rPr>
        <w:t>为中小型或微型企业生产的,应对提交的中小企业声明函的真实性负责,提交的中小企业声明函不真实的,应承担相应的法律责任。</w:t>
      </w:r>
    </w:p>
    <w:p w14:paraId="3A210B90">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(2)</w:t>
      </w:r>
      <w:r>
        <w:rPr>
          <w:rFonts w:hint="eastAsia" w:ascii="宋体" w:hAnsi="宋体" w:cs="宋体"/>
          <w:bCs/>
          <w:color w:val="auto"/>
          <w:sz w:val="24"/>
          <w:szCs w:val="24"/>
          <w:highlight w:val="none"/>
        </w:rPr>
        <w:t>监狱企业扶持政策：供应商如为监狱企业将视同为小型或微型企业，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p>
    <w:p w14:paraId="1C32ECE5">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(3)</w:t>
      </w:r>
      <w:r>
        <w:rPr>
          <w:rFonts w:hint="eastAsia" w:ascii="宋体" w:hAnsi="宋体" w:cs="宋体"/>
          <w:bCs/>
          <w:color w:val="auto"/>
          <w:sz w:val="24"/>
          <w:szCs w:val="24"/>
          <w:highlight w:val="none"/>
        </w:rPr>
        <w:t>促进残疾人就业政府采购政策：根据《三部门联合发布关于促进残疾人就业政府采购政策的通知》(财库(2017)141号)规定，符合条件的残疾人福利性单位在参加本项目政府采购活动时，供应商应出具《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774BB49B">
      <w:pPr>
        <w:pStyle w:val="7"/>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hAnsi="宋体" w:cs="宋体"/>
          <w:color w:val="auto"/>
          <w:kern w:val="2"/>
          <w:sz w:val="24"/>
          <w:szCs w:val="24"/>
          <w:highlight w:val="none"/>
          <w:lang w:bidi="ar"/>
        </w:rPr>
      </w:pPr>
      <w:r>
        <w:rPr>
          <w:rFonts w:hint="eastAsia" w:ascii="宋体" w:hAnsi="宋体" w:cs="宋体"/>
          <w:bCs/>
          <w:color w:val="auto"/>
          <w:sz w:val="24"/>
          <w:szCs w:val="24"/>
          <w:highlight w:val="none"/>
          <w:lang w:val="en-US" w:eastAsia="zh-CN"/>
        </w:rPr>
        <w:t>(4)</w:t>
      </w:r>
      <w:r>
        <w:rPr>
          <w:rFonts w:hint="eastAsia" w:hAnsi="宋体" w:cs="宋体"/>
          <w:bCs/>
          <w:color w:val="auto"/>
          <w:sz w:val="24"/>
          <w:szCs w:val="24"/>
          <w:highlight w:val="none"/>
        </w:rPr>
        <w:t>按照“财政部 发展改革委 生态环境部 市场监管总局 关于调整优化节能产品、环境标志产品政府采购执行机制的通知”财库〔2019〕9号的规定执行。</w:t>
      </w:r>
    </w:p>
    <w:p w14:paraId="62684674">
      <w:pPr>
        <w:keepNext w:val="0"/>
        <w:keepLines w:val="0"/>
        <w:pageBreakBefore w:val="0"/>
        <w:kinsoku/>
        <w:wordWrap/>
        <w:overflowPunct/>
        <w:topLinePunct w:val="0"/>
        <w:autoSpaceDE/>
        <w:autoSpaceDN/>
        <w:bidi w:val="0"/>
        <w:adjustRightInd/>
        <w:snapToGrid w:val="0"/>
        <w:spacing w:before="156" w:line="500" w:lineRule="exact"/>
        <w:contextualSpacing/>
        <w:textAlignment w:val="auto"/>
        <w:rPr>
          <w:rFonts w:hint="eastAsia" w:ascii="Arial" w:hAnsi="Arial" w:cs="Arial"/>
          <w:b/>
          <w:color w:val="auto"/>
          <w:sz w:val="24"/>
          <w:szCs w:val="24"/>
          <w:highlight w:val="none"/>
        </w:rPr>
      </w:pPr>
      <w:r>
        <w:rPr>
          <w:rFonts w:hint="eastAsia" w:ascii="Arial" w:hAnsi="Arial" w:cs="Arial"/>
          <w:b/>
          <w:color w:val="auto"/>
          <w:sz w:val="24"/>
          <w:szCs w:val="24"/>
          <w:highlight w:val="none"/>
        </w:rPr>
        <w:t>（二）采购标的需执行的国家相关标准、行业标准、地方标准或者其他标准、规范</w:t>
      </w:r>
    </w:p>
    <w:p w14:paraId="39F80B7E">
      <w:pPr>
        <w:pStyle w:val="7"/>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color w:val="auto"/>
          <w:sz w:val="24"/>
          <w:szCs w:val="24"/>
          <w:highlight w:val="none"/>
        </w:rPr>
      </w:pPr>
      <w:r>
        <w:rPr>
          <w:rFonts w:hint="eastAsia" w:ascii="宋体" w:hAnsi="宋体" w:cs="宋体"/>
          <w:color w:val="auto"/>
          <w:sz w:val="24"/>
          <w:highlight w:val="none"/>
        </w:rPr>
        <w:t>依据《中华人民共和国政府采购法》《政府采购货物和服务招标投标管理办法》（中华人民共和国财政部令第87号）、《财政部关于促进政府采购公平竞争优化营商环境的通知》（财库〔2019〕38号）等相关法律法规，根据怒江州中医医院实际需求，编制采购标准，满足怒江州中医医院2025-2028年耗材配送服务使用需求。</w:t>
      </w:r>
    </w:p>
    <w:p w14:paraId="093007AE">
      <w:pPr>
        <w:keepNext w:val="0"/>
        <w:keepLines w:val="0"/>
        <w:pageBreakBefore w:val="0"/>
        <w:kinsoku/>
        <w:wordWrap/>
        <w:overflowPunct/>
        <w:topLinePunct w:val="0"/>
        <w:autoSpaceDE/>
        <w:autoSpaceDN/>
        <w:bidi w:val="0"/>
        <w:adjustRightInd/>
        <w:spacing w:line="500" w:lineRule="exact"/>
        <w:textAlignment w:val="auto"/>
        <w:rPr>
          <w:rFonts w:hint="eastAsia" w:ascii="Arial" w:hAnsi="Arial" w:eastAsia="宋体" w:cs="Arial"/>
          <w:b/>
          <w:color w:val="auto"/>
          <w:sz w:val="24"/>
          <w:szCs w:val="24"/>
          <w:highlight w:val="none"/>
        </w:rPr>
      </w:pPr>
      <w:r>
        <w:rPr>
          <w:rFonts w:hint="eastAsia" w:ascii="Arial" w:hAnsi="Arial" w:eastAsia="宋体" w:cs="Arial"/>
          <w:b/>
          <w:color w:val="auto"/>
          <w:sz w:val="24"/>
          <w:szCs w:val="24"/>
          <w:highlight w:val="none"/>
        </w:rPr>
        <w:t>（三）采购标的需满足的质量、安全、服务等要求</w:t>
      </w:r>
    </w:p>
    <w:p w14:paraId="2D70B420">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eastAsia" w:ascii="Arial" w:hAnsi="Arial" w:eastAsia="宋体" w:cs="Arial"/>
          <w:b/>
          <w:color w:val="auto"/>
          <w:sz w:val="24"/>
          <w:szCs w:val="24"/>
          <w:highlight w:val="none"/>
        </w:rPr>
      </w:pPr>
      <w:r>
        <w:rPr>
          <w:rFonts w:hint="eastAsia" w:ascii="宋体" w:hAnsi="宋体" w:cs="宋体"/>
          <w:color w:val="auto"/>
          <w:sz w:val="24"/>
          <w:szCs w:val="24"/>
          <w:highlight w:val="none"/>
        </w:rPr>
        <w:t>符合国家相关标准，</w:t>
      </w:r>
      <w:r>
        <w:rPr>
          <w:rFonts w:hint="eastAsia" w:ascii="宋体" w:hAnsi="宋体" w:cs="宋体"/>
          <w:color w:val="auto"/>
          <w:sz w:val="24"/>
          <w:szCs w:val="24"/>
          <w:highlight w:val="none"/>
          <w:lang w:val="en-US" w:eastAsia="zh-CN"/>
        </w:rPr>
        <w:t>按服务要求</w:t>
      </w:r>
      <w:r>
        <w:rPr>
          <w:rFonts w:hint="eastAsia" w:ascii="宋体" w:hAnsi="宋体" w:eastAsia="宋体" w:cs="宋体"/>
          <w:color w:val="auto"/>
          <w:sz w:val="24"/>
          <w:szCs w:val="24"/>
          <w:highlight w:val="none"/>
          <w:lang w:val="en-US" w:eastAsia="zh-CN"/>
        </w:rPr>
        <w:t>执行</w:t>
      </w:r>
      <w:r>
        <w:rPr>
          <w:rFonts w:hint="eastAsia" w:ascii="宋体" w:hAnsi="宋体" w:eastAsia="宋体" w:cs="宋体"/>
          <w:strike w:val="0"/>
          <w:dstrike w:val="0"/>
          <w:color w:val="auto"/>
          <w:sz w:val="24"/>
          <w:szCs w:val="24"/>
          <w:highlight w:val="none"/>
          <w:lang w:eastAsia="zh-CN"/>
        </w:rPr>
        <w:t>。</w:t>
      </w:r>
    </w:p>
    <w:p w14:paraId="2BB35B3A">
      <w:pPr>
        <w:keepNext w:val="0"/>
        <w:keepLines w:val="0"/>
        <w:pageBreakBefore w:val="0"/>
        <w:kinsoku/>
        <w:wordWrap/>
        <w:overflowPunct/>
        <w:topLinePunct w:val="0"/>
        <w:autoSpaceDE/>
        <w:autoSpaceDN/>
        <w:bidi w:val="0"/>
        <w:adjustRightInd/>
        <w:spacing w:line="500" w:lineRule="exact"/>
        <w:textAlignment w:val="auto"/>
        <w:rPr>
          <w:rFonts w:hint="eastAsia" w:ascii="Arial" w:hAnsi="Arial" w:eastAsia="宋体" w:cs="Arial"/>
          <w:b/>
          <w:color w:val="auto"/>
          <w:sz w:val="24"/>
          <w:szCs w:val="24"/>
          <w:highlight w:val="none"/>
        </w:rPr>
      </w:pPr>
      <w:r>
        <w:rPr>
          <w:rFonts w:hint="eastAsia" w:ascii="Arial" w:hAnsi="Arial" w:eastAsia="宋体" w:cs="Arial"/>
          <w:b/>
          <w:color w:val="auto"/>
          <w:sz w:val="24"/>
          <w:szCs w:val="24"/>
          <w:highlight w:val="none"/>
        </w:rPr>
        <w:t>（四）采购标的的数量、采购项目交付或者实施的时间和地点</w:t>
      </w:r>
    </w:p>
    <w:p w14:paraId="1DDFC08E">
      <w:pPr>
        <w:pStyle w:val="7"/>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Times New Roman" w:eastAsia="宋体" w:cs="Times New Roman"/>
          <w:color w:val="auto"/>
          <w:sz w:val="24"/>
          <w:szCs w:val="24"/>
          <w:highlight w:val="none"/>
          <w:lang w:eastAsia="zh-CN"/>
        </w:rPr>
      </w:pPr>
      <w:r>
        <w:rPr>
          <w:rFonts w:hint="eastAsia" w:ascii="宋体" w:hAnsi="Times New Roman" w:eastAsia="宋体" w:cs="Times New Roman"/>
          <w:color w:val="auto"/>
          <w:sz w:val="24"/>
          <w:szCs w:val="24"/>
          <w:highlight w:val="none"/>
        </w:rPr>
        <w:t>1.采购标的的数量：</w:t>
      </w:r>
      <w:r>
        <w:rPr>
          <w:rFonts w:hint="eastAsia" w:cs="Times New Roman"/>
          <w:color w:val="auto"/>
          <w:sz w:val="24"/>
          <w:szCs w:val="24"/>
          <w:highlight w:val="none"/>
          <w:lang w:val="en-US" w:eastAsia="zh-CN"/>
        </w:rPr>
        <w:t>详见采购清单</w:t>
      </w:r>
      <w:r>
        <w:rPr>
          <w:rFonts w:hint="eastAsia" w:cs="Times New Roman"/>
          <w:color w:val="auto"/>
          <w:sz w:val="24"/>
          <w:szCs w:val="24"/>
          <w:highlight w:val="none"/>
          <w:lang w:eastAsia="zh-CN"/>
        </w:rPr>
        <w:t>。</w:t>
      </w:r>
    </w:p>
    <w:p w14:paraId="78A01AE2">
      <w:pPr>
        <w:pStyle w:val="7"/>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rPr>
        <w:t>2.合同履行期限：三年，合同一年一签，采购人按照医院内部评价机制，评价合格即可签订下一年度合同。评价不合格采购人有权不签订下一年度合同，重新招标。</w:t>
      </w:r>
    </w:p>
    <w:p w14:paraId="0E031FF5">
      <w:pPr>
        <w:pStyle w:val="7"/>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Times New Roman" w:eastAsia="宋体" w:cs="Times New Roman"/>
          <w:color w:val="auto"/>
          <w:sz w:val="24"/>
          <w:szCs w:val="24"/>
          <w:highlight w:val="none"/>
        </w:rPr>
      </w:pPr>
      <w:r>
        <w:rPr>
          <w:rFonts w:hint="eastAsia" w:cs="Times New Roman"/>
          <w:color w:val="auto"/>
          <w:sz w:val="24"/>
          <w:szCs w:val="24"/>
          <w:highlight w:val="none"/>
          <w:lang w:val="en-US" w:eastAsia="zh-CN"/>
        </w:rPr>
        <w:t>3</w:t>
      </w:r>
      <w:r>
        <w:rPr>
          <w:rFonts w:hint="eastAsia" w:ascii="宋体" w:hAnsi="Times New Roman" w:eastAsia="宋体" w:cs="Times New Roman"/>
          <w:color w:val="auto"/>
          <w:sz w:val="24"/>
          <w:szCs w:val="24"/>
          <w:highlight w:val="none"/>
        </w:rPr>
        <w:t>.服务地点：云南省怒江州六库镇（招标人指定地点）。</w:t>
      </w:r>
    </w:p>
    <w:p w14:paraId="529F9B33">
      <w:pPr>
        <w:keepNext w:val="0"/>
        <w:keepLines w:val="0"/>
        <w:pageBreakBefore w:val="0"/>
        <w:kinsoku/>
        <w:wordWrap/>
        <w:overflowPunct/>
        <w:topLinePunct w:val="0"/>
        <w:autoSpaceDE/>
        <w:autoSpaceDN/>
        <w:bidi w:val="0"/>
        <w:adjustRightInd/>
        <w:spacing w:line="500" w:lineRule="exact"/>
        <w:textAlignment w:val="auto"/>
        <w:rPr>
          <w:rFonts w:hint="eastAsia" w:ascii="Arial" w:hAnsi="Arial" w:eastAsia="宋体" w:cs="Arial"/>
          <w:b/>
          <w:color w:val="auto"/>
          <w:sz w:val="24"/>
          <w:szCs w:val="24"/>
          <w:highlight w:val="none"/>
        </w:rPr>
      </w:pPr>
      <w:r>
        <w:rPr>
          <w:rFonts w:hint="eastAsia" w:ascii="Arial" w:hAnsi="Arial" w:eastAsia="宋体" w:cs="Arial"/>
          <w:b/>
          <w:color w:val="auto"/>
          <w:sz w:val="24"/>
          <w:szCs w:val="24"/>
          <w:highlight w:val="none"/>
        </w:rPr>
        <w:t>（五）采购标的需满足的服务标准、期限、效率等要求</w:t>
      </w:r>
    </w:p>
    <w:p w14:paraId="5E394792">
      <w:pPr>
        <w:pStyle w:val="7"/>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Times New Roman" w:eastAsia="宋体" w:cs="Times New Roman"/>
          <w:color w:val="auto"/>
          <w:sz w:val="24"/>
          <w:szCs w:val="24"/>
          <w:highlight w:val="none"/>
        </w:rPr>
      </w:pPr>
      <w:r>
        <w:rPr>
          <w:rFonts w:hint="eastAsia" w:hAnsi="Times New Roman" w:cs="Times New Roman"/>
          <w:color w:val="auto"/>
          <w:sz w:val="24"/>
          <w:szCs w:val="24"/>
          <w:highlight w:val="none"/>
          <w:lang w:val="en-US" w:eastAsia="zh-CN"/>
        </w:rPr>
        <w:t>1.</w:t>
      </w:r>
      <w:r>
        <w:rPr>
          <w:rFonts w:hint="eastAsia" w:ascii="宋体" w:hAnsi="Times New Roman" w:eastAsia="宋体" w:cs="Times New Roman"/>
          <w:color w:val="auto"/>
          <w:sz w:val="24"/>
          <w:szCs w:val="24"/>
          <w:highlight w:val="none"/>
        </w:rPr>
        <w:t>服务标准</w:t>
      </w:r>
      <w:r>
        <w:rPr>
          <w:rFonts w:hint="eastAsia" w:hAnsi="Times New Roman" w:cs="Times New Roman"/>
          <w:color w:val="auto"/>
          <w:sz w:val="24"/>
          <w:szCs w:val="24"/>
          <w:highlight w:val="none"/>
          <w:lang w:eastAsia="zh-CN"/>
        </w:rPr>
        <w:t>、</w:t>
      </w:r>
      <w:r>
        <w:rPr>
          <w:rFonts w:hint="eastAsia" w:ascii="宋体" w:hAnsi="Times New Roman" w:eastAsia="宋体" w:cs="Times New Roman"/>
          <w:color w:val="auto"/>
          <w:sz w:val="24"/>
          <w:szCs w:val="24"/>
          <w:highlight w:val="none"/>
        </w:rPr>
        <w:t>效率等要求</w:t>
      </w:r>
      <w:r>
        <w:rPr>
          <w:rFonts w:hint="eastAsia" w:hAnsi="Times New Roman" w:cs="Times New Roman"/>
          <w:color w:val="auto"/>
          <w:sz w:val="24"/>
          <w:szCs w:val="24"/>
          <w:highlight w:val="none"/>
          <w:lang w:eastAsia="zh-CN"/>
        </w:rPr>
        <w:t>：</w:t>
      </w:r>
      <w:r>
        <w:rPr>
          <w:rFonts w:hint="eastAsia" w:ascii="宋体" w:hAnsi="Times New Roman" w:eastAsia="宋体" w:cs="Times New Roman"/>
          <w:color w:val="auto"/>
          <w:sz w:val="24"/>
          <w:szCs w:val="24"/>
          <w:highlight w:val="none"/>
        </w:rPr>
        <w:t>采购标的需满足国家、行业相关标准以及采购要求。</w:t>
      </w:r>
    </w:p>
    <w:p w14:paraId="4F751926">
      <w:pPr>
        <w:pStyle w:val="7"/>
        <w:keepNext w:val="0"/>
        <w:keepLines w:val="0"/>
        <w:pageBreakBefore w:val="0"/>
        <w:kinsoku/>
        <w:wordWrap/>
        <w:overflowPunct/>
        <w:topLinePunct w:val="0"/>
        <w:autoSpaceDE/>
        <w:autoSpaceDN/>
        <w:bidi w:val="0"/>
        <w:adjustRightInd/>
        <w:spacing w:line="500" w:lineRule="exact"/>
        <w:ind w:firstLine="480" w:firstLineChars="200"/>
        <w:textAlignment w:val="auto"/>
        <w:rPr>
          <w:rFonts w:hint="default" w:ascii="宋体" w:hAnsi="Times New Roman" w:eastAsia="宋体" w:cs="Times New Roman"/>
          <w:color w:val="auto"/>
          <w:sz w:val="24"/>
          <w:szCs w:val="24"/>
          <w:highlight w:val="none"/>
          <w:lang w:val="en-US" w:eastAsia="zh-CN"/>
        </w:rPr>
      </w:pPr>
      <w:r>
        <w:rPr>
          <w:rFonts w:hint="eastAsia" w:hAnsi="Times New Roman" w:cs="Times New Roman"/>
          <w:color w:val="auto"/>
          <w:sz w:val="24"/>
          <w:szCs w:val="24"/>
          <w:highlight w:val="none"/>
          <w:lang w:val="en-US" w:eastAsia="zh-CN"/>
        </w:rPr>
        <w:t>2.服务期限：同合同履行期限。</w:t>
      </w:r>
    </w:p>
    <w:p w14:paraId="2735F238">
      <w:pPr>
        <w:keepNext w:val="0"/>
        <w:keepLines w:val="0"/>
        <w:pageBreakBefore w:val="0"/>
        <w:kinsoku/>
        <w:wordWrap/>
        <w:overflowPunct/>
        <w:topLinePunct w:val="0"/>
        <w:autoSpaceDE/>
        <w:autoSpaceDN/>
        <w:bidi w:val="0"/>
        <w:adjustRightInd/>
        <w:snapToGrid w:val="0"/>
        <w:spacing w:before="156" w:line="500" w:lineRule="exact"/>
        <w:contextualSpacing/>
        <w:textAlignment w:val="auto"/>
        <w:rPr>
          <w:rFonts w:hint="eastAsia" w:ascii="Arial" w:hAnsi="Arial" w:cs="Arial"/>
          <w:b/>
          <w:color w:val="auto"/>
          <w:sz w:val="24"/>
          <w:szCs w:val="24"/>
          <w:highlight w:val="none"/>
        </w:rPr>
      </w:pPr>
      <w:r>
        <w:rPr>
          <w:rFonts w:hint="eastAsia" w:ascii="Arial" w:hAnsi="Arial" w:cs="Arial"/>
          <w:b/>
          <w:color w:val="auto"/>
          <w:sz w:val="24"/>
          <w:szCs w:val="24"/>
          <w:highlight w:val="none"/>
        </w:rPr>
        <w:t>（六）采购标的的验收标准</w:t>
      </w:r>
    </w:p>
    <w:p w14:paraId="0836F4EF">
      <w:pPr>
        <w:keepNext w:val="0"/>
        <w:keepLines w:val="0"/>
        <w:pageBreakBefore w:val="0"/>
        <w:widowControl w:val="0"/>
        <w:kinsoku/>
        <w:wordWrap/>
        <w:overflowPunct/>
        <w:topLinePunct w:val="0"/>
        <w:autoSpaceDE/>
        <w:autoSpaceDN/>
        <w:bidi w:val="0"/>
        <w:adjustRightInd/>
        <w:spacing w:line="500" w:lineRule="exact"/>
        <w:ind w:firstLine="480" w:firstLineChars="200"/>
        <w:jc w:val="both"/>
        <w:textAlignment w:val="auto"/>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1.验收方式：采购人组织验收小组或指定代理人统一验收，采购人认为必要时可邀请有关专家参与共同验收，验收时采购人将按照国家相关标准或招标文件所载明的标准和方法进行验收。</w:t>
      </w:r>
    </w:p>
    <w:p w14:paraId="73F80B68">
      <w:pPr>
        <w:keepNext w:val="0"/>
        <w:keepLines w:val="0"/>
        <w:pageBreakBefore w:val="0"/>
        <w:widowControl w:val="0"/>
        <w:kinsoku/>
        <w:wordWrap/>
        <w:overflowPunct/>
        <w:topLinePunct w:val="0"/>
        <w:autoSpaceDE/>
        <w:autoSpaceDN/>
        <w:bidi w:val="0"/>
        <w:adjustRightInd/>
        <w:spacing w:line="500" w:lineRule="exact"/>
        <w:ind w:firstLine="480" w:firstLineChars="200"/>
        <w:jc w:val="both"/>
        <w:textAlignment w:val="auto"/>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2.验收要求：经双方确认后，双方代表必须按规定的验收交接单上的项目对照本合同填好验收结果并签名盖章。</w:t>
      </w:r>
    </w:p>
    <w:p w14:paraId="59986ECE">
      <w:pPr>
        <w:keepNext w:val="0"/>
        <w:keepLines w:val="0"/>
        <w:pageBreakBefore w:val="0"/>
        <w:kinsoku/>
        <w:wordWrap/>
        <w:overflowPunct/>
        <w:topLinePunct w:val="0"/>
        <w:autoSpaceDE/>
        <w:autoSpaceDN/>
        <w:bidi w:val="0"/>
        <w:adjustRightInd/>
        <w:snapToGrid w:val="0"/>
        <w:spacing w:before="156" w:line="500" w:lineRule="exact"/>
        <w:contextualSpacing/>
        <w:textAlignment w:val="auto"/>
        <w:rPr>
          <w:rFonts w:hint="eastAsia" w:ascii="Arial" w:hAnsi="Arial" w:cs="Arial"/>
          <w:b/>
          <w:color w:val="auto"/>
          <w:sz w:val="24"/>
          <w:szCs w:val="24"/>
          <w:highlight w:val="none"/>
        </w:rPr>
      </w:pPr>
      <w:r>
        <w:rPr>
          <w:rFonts w:hint="eastAsia" w:ascii="Arial" w:hAnsi="Arial" w:cs="Arial"/>
          <w:b/>
          <w:color w:val="auto"/>
          <w:sz w:val="24"/>
          <w:szCs w:val="24"/>
          <w:highlight w:val="none"/>
        </w:rPr>
        <w:t>（七）采购标的的其他技术、服务等要求</w:t>
      </w:r>
    </w:p>
    <w:p w14:paraId="7B4C590E">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采购需求</w:t>
      </w:r>
    </w:p>
    <w:p w14:paraId="206D884D">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eastAsia="宋体" w:cs="宋体"/>
          <w:color w:val="auto"/>
          <w:kern w:val="2"/>
          <w:sz w:val="24"/>
          <w:szCs w:val="24"/>
          <w:highlight w:val="none"/>
          <w:lang w:bidi="ar"/>
        </w:rPr>
      </w:pPr>
      <w:r>
        <w:rPr>
          <w:rFonts w:hint="eastAsia" w:ascii="宋体" w:hAnsi="宋体" w:cs="宋体"/>
          <w:b w:val="0"/>
          <w:bCs w:val="0"/>
          <w:color w:val="auto"/>
          <w:sz w:val="24"/>
          <w:szCs w:val="24"/>
          <w:highlight w:val="none"/>
        </w:rPr>
        <w:t>(1)若目录内产品名称及规格与供应商货物不一致的情况，以厂家或阳光采购平台的名称及规格为准，但必须保证所投产品功能性的完整，满足医院使用。</w:t>
      </w:r>
      <w:r>
        <w:rPr>
          <w:rFonts w:hint="eastAsia" w:ascii="宋体" w:hAnsi="宋体" w:eastAsia="宋体" w:cs="宋体"/>
          <w:color w:val="auto"/>
          <w:kern w:val="2"/>
          <w:sz w:val="24"/>
          <w:szCs w:val="24"/>
          <w:highlight w:val="none"/>
          <w:lang w:bidi="ar"/>
        </w:rPr>
        <w:t>在供货期间，如遇到国家、省市出台新的医保带量采购政策、进行集采或阳光平台价格及禁用启用状态变动，与本次采购结果相冲突的，执行国家、省市最新医保带量采购政策或带量及阳光采购价格。</w:t>
      </w:r>
    </w:p>
    <w:p w14:paraId="6A4FB6C9">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(2)中标人如果是代理商或经销商，签订合同时提供主要耗材（具体品类由医院确定）的厂家授权书供医院查验。</w:t>
      </w:r>
    </w:p>
    <w:p w14:paraId="64312877">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(3)投标人应提供所投耗材注册证信息（如有）参与投标。</w:t>
      </w:r>
    </w:p>
    <w:p w14:paraId="0F753DB2">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(4)投标人应具备本地化耗材配送服务能力，满足日常配送服务及应急配送服务需求，服务能力包括但不限于配送人员、配送车辆及设备、仓库等，应急配送服务包括但不限于开展紧急医疗救治或类似情形，或配合疫情防控措施急需供应的耗材。</w:t>
      </w:r>
    </w:p>
    <w:p w14:paraId="378F861F">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(5)提供完整的配送服务方案、服务质量承诺及保证措施、违约处罚措施、应急处理方案、售后服务方案、技术培训计划及措施、仓储能力、项目人员保障方案，包括但不限于应急或新增耗材的供应保障、供应耗材质量问题处理及响应及时性等。</w:t>
      </w:r>
    </w:p>
    <w:p w14:paraId="0A5EA16E">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(6)投标人的每次配送均应按招标人要求时限内及时完成配送服务，若不能按时配送的须及时告知院方，可推迟配送，最迟不得超过24小时，否则每次处以该批次配送产品总金额的15%-30%的罚款，若一年内累计四次及以上不能按时配送的，院方有权解除合同另行选择配送企业。</w:t>
      </w:r>
    </w:p>
    <w:p w14:paraId="0B1E11DF">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（7）在供货期间，如遇到国家、省市出台新的医保带量采购政策、或进行集采等政策，与本次采购结果相冲突的，执行国家、省市最新医保带量采购政策或带量采购价格。</w:t>
      </w:r>
    </w:p>
    <w:p w14:paraId="109FF4B0">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8）中标人对所供的医用耗材应适当备货，确保采购人需要。采购人采购员下达的采购计划应至少在12个小时内供货到位，临时采购计划在规定的时间内供货，急诊或急救医用耗材及检验试剂耗材必须保证随时下达计划随时供货，不得因供货不及时影响采购人正常医疗工作。</w:t>
      </w:r>
    </w:p>
    <w:p w14:paraId="516C33FC">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9）若后期出现未列在本次招标需求中的耗材，为开展新增项目所需的新增耗材品类，中标人应提供符合采购人使用需求的耗材（中标人提供不少于3个品牌供采购人选择），价格不得高于医用耗材省级阳光采购交易系统挂网价或国家指导价格（平台最低价）。</w:t>
      </w:r>
    </w:p>
    <w:p w14:paraId="6A52704D">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（10）要求投标人需到实地进行考察，所投耗材必须满足已有设备使用。</w:t>
      </w:r>
    </w:p>
    <w:p w14:paraId="39254E2B">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2.采购清单及预算单价</w:t>
      </w:r>
    </w:p>
    <w:tbl>
      <w:tblPr>
        <w:tblStyle w:val="33"/>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1477"/>
        <w:gridCol w:w="2042"/>
        <w:gridCol w:w="739"/>
        <w:gridCol w:w="1363"/>
        <w:gridCol w:w="1058"/>
        <w:gridCol w:w="1087"/>
        <w:gridCol w:w="1253"/>
      </w:tblGrid>
      <w:tr w14:paraId="537E1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08475">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EBC5E">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名称</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26296">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规格</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9FDAD">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单位</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FE536">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数量（一年使用量）</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5533A">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单价（元）</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B6424">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总预算价（元）</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9DB88">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是否阳光平台采购</w:t>
            </w:r>
          </w:p>
        </w:tc>
      </w:tr>
      <w:tr w14:paraId="7DA83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7D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E2E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B78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6B0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584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89C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F5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D37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371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0FF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751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FA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0.25*75mm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B6A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6C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3E0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160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30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486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F7B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C34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047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0.30*50mm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4F5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7AE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F73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039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C79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0858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9B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EE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7E0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0.18*13mm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99C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017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A4D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665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719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9A94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DE2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742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80E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0.30*75mm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E5A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2F7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2AE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163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FB8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BF17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09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7DC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46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0.35*75mm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CF6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EA5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78B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552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F31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7D6C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405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6DD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E3C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957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85B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B8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1F5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520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E2B4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3A9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FD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73B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354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D4D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4E8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684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1B1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C01B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06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B29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5BF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AAF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1AD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A80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7C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AC5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E089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F5E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222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A4B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0.25*25mm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25D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7B7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D56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CAC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BBC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59CE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5CE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AF0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52E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15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F9E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D72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BAD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7D5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E7AC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A32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FD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B14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0.25*13mm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AC3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7D1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520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608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744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FDEA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58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B96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78A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08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ED8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A49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EAA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761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113A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9E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D66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344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3D1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993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8C2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246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A1B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767C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828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99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医用脱脂棉纱布块（非灭菌型）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88C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038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16A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A76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F92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8A5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DEE8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250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045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23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4DC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E93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57C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B40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C3C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746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3AC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C7F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A53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中头式1ml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43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488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F0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13D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987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9EBF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71F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585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一次性使用吸引管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58C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411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EA6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310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73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6D6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FEE5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17C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F1A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568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0.5mm*19.7mm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2C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264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8F1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8C6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20B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03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3A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33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一次性使用连接管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6D2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LJG-D</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92A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8E7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946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493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E46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0545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2C8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53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125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0.30x40mm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27C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11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3B0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E6A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689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C059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65A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012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一次性使用静脉采血针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2ED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100支/袋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288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75F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BFB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91B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FF3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9385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340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2A7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A80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中头式5ml 0.6*28.5mm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21C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532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A6D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671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D39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ED5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C7A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D3E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89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10ml 1.2*32mm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98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EE5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406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19F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31F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3D9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F11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75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9F4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偏头式20ml 1.2*32mm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EC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C26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A26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583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992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F634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440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A83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D95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中头式5ml 0.5*38mm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3D1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933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7DF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31C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B78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5F1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7BF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71E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51A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FF1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BB1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E8A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21B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D97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2FEA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D7E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9FE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F0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6cm*8cm*8cm*120片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E16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2D0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562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B7E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AB9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2DD3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316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BFE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医用脱脂棉纱布块（灭菌型）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FE5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6cm*6cm*6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235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666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8BB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11D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7B7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450B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FEE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06F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医用留置针贴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16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18E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203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94A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766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2B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B680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A3C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FA1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4D4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8cm*8cm*8P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51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CED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C3F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12B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E50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41D2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53D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AB7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6864透气胶带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D92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4cm*4cm*500片/袋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5F3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贴</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B49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66D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185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5D0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87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201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1CE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6864透气胶带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A87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5.0cm*5.0cm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D4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231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B0A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093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945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342A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B23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1DE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一次性使用无菌阴道扩张器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0AE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A型轴转式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76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3F9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BF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125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364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C8C6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A0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AFA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医用无菌敷贴（自粘敷料）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A13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7cm*9cm*50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D00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361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E21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7DE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218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81E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175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E21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医用外科口罩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0CF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小号、中号、大号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3CD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671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A81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776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C58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E379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670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6F9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FB0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B1-1  0.6*24TWLB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FCF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A8A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24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8F0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AD7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17D1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235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3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一次性使用捆扎止血带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C3F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8D9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8AC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88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366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A0E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4349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6A5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AE2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一次性使用心电电极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DD6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银/氯化银Ag/AgC1 LT-301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25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2E4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BA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E76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E30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BC15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9CD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F17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D89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50ml 1.6*32mm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2DE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727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521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53E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3A6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355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02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77F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一次性使用肝素帽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3FE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I型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2FF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4FA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515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264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8A6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CAE3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A3E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4B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一次性医用中单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16E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60cm*80cm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F4C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388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B1D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01B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5A7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8502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98A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49F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99E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B1-5 0.6*24TWLB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8E2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108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6C2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9D8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770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1D5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C40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E0D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B3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B1-5 0.7mm*24TWLB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6D5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702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8B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836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69C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0F8B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037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8D1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0B2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B1-5 0.7*25TWLB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0EC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B2C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646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41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8DF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70CA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922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951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麻醉导管及接头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39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D31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F04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C49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B7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F8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9066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3C3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55E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微量泵延长管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97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普通型 YV-1A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48E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5C4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C14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846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CB7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84DC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74B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43F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一次性使用肛门镜</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459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A10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080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ED6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7A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846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4989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AE3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DD7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一次性使用心电电极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01B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915T50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D4D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71D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1FC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473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A3C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54CC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63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B5A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A型医用透明敷贴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941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6cm*7cm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486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0DB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F88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42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50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C608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D88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31A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一次性口腔器械盒</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12E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KQH-2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07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7D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50E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040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464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97B5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4F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C77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呼吸道用吸引导管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262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4.67mm(Fr14)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0F1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4D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14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C90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567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6E0C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18B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239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287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C型7.3mm（22#）（硅橡胶）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5D3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D16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24C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81B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63D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D22D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BA4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E7B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灭菌凡士林纱布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A2F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5cm*5cm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AE1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996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32D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06A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A6A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0371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571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741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一次性使用医用三通道旋阀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89DF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F9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DF6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960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4AE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5D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9900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156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42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一次性使用肝素帽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B64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GSM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DCD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EFD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2F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DD3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22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521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79F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4AD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医用排便清肠器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A2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648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16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D6A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A20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A2E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F412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B60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E7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纱布绷带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6FC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8cm*6m*5卷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31D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5D9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BA3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865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E0E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DA9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DCB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DDA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外科纱布敷料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1F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10*20-4P-XR</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8EA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F59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E1E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4B7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004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6F67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C84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867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一次性使用吸引管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14F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9.3mm（F28）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191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BE2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E26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C94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114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366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1D5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85F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备皮刀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604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双面</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E07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把</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E68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65C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2B3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F5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7300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F18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3FA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引流袋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765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常用型 1000ml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AA9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FC4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7C3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68C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396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D684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A22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D27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医用外科口罩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7E2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绑带式17cm*18cm-3P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A20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32F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BF2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EF4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CCC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B74D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70C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548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一次性使用鼻氧管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A93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头环式双鼻塞 50支/包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1A4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0D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91A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9D0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11084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DFD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5FEE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AC6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A1F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一次性咬口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B2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7DE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FD4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B20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4F6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E36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3386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CA7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B39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一次性咬口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B72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710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C1F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958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701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87F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36C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A51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619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一次性使用埋线针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B99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A3B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45A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D40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95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528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06FF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5FD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DBF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医用无菌敷贴（自粘敷料）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DC6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10cm*15cm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63D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BA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77D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AE6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34E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16CD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EE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C3F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凡士林纱布块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590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A34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C7C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8DC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9DB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969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4B54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EF7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A80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医用凡士林纱布块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23B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30F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0C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E07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0B0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09B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9DCB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A0B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86E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内窥镜咬口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3F3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790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C8A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CC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821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1D4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13F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901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E56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AE6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3CF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66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D63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89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86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63B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93A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D80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一次性使用肠道冲洗袋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573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1000ml（A型）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B6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002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AB6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D60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ECE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F76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C43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62D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A0D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10cm×300cm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74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08A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C1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021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FF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E7D0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82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736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医用防护口罩（N95）</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D04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N95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787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230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4A6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DE4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32C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D661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D8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9AF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DC0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ED8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66C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4B5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3E9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2FC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EA4E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2FA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D25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梅花针（七星针皮肤针）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D49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单头</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D9F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9FB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0E5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D32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A77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2635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2B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117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B3E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0.22*1.3mm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72A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F43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2E7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634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7C6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400B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EFF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373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71E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1A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2B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47E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EAC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87C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EB34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686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829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E19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7BB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382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705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20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19C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F8C8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959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47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DB6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01C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241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1D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D99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1D9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989D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912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82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CD7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58D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D6A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DAA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C81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707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E304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630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F0D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E3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透明型10号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F2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424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4EF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52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59E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3E7F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3EB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503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AEF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透明型9号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589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29D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F22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82F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4EF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9944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21F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E1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A5C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透明性8号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CC1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BE0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B71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651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B59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978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D47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020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4D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透明性11号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8C3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637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406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5EF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2D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62C5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3C7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AB7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72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528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23C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688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BD6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536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F6D9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6E9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944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866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6.0mm 18#（硅橡胶）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5C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A34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E6A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16B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F9F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D6D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300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C27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一次性使用无菌换药包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6FD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385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EEC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775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B6D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E4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CE11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697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411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一次性使用无菌换药包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66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HYA-0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AF9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89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8CE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137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19440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DB8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23A3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BD4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EF1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826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6B3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36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D4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6BE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9CF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F22C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CB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877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网纹易撕胶带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3DF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1527C-0 1.2cm*9.1m、2.4cm*9.1m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909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1CF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FE1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8F5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36960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2B2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1423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4BA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1C1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牙胶尖</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E7E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8C5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029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A63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3D4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928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5F9F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4D8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E03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E0F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F3E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C32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EFD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6DF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230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E872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39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8A5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458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503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503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D29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320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CFB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5398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A66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918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一次性使用埋线针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51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0.7mm*60mm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21C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226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E29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BB7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D2B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354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0F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171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牙胶尖</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6A3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DIA-ISO 0.02 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FDE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F7B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416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27D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FE5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79C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E1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2A5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高频手术电极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BF4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BG-4-S</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A8E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把</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E9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7DE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D6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7BA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8815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3DA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AC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B35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8*20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7B9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065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C5B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C95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EE1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3A48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BDB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E3A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BB9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圆1/2 8*20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B39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15B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2D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506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C1E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38A1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DA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FA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B0E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7*17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B91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75E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2FF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DAE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29C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46FF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EC7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D82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0C4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圆1/2 7*17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25E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5C3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BF8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42E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960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1A24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CFA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B98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随弃式导电粘胶中性极板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B18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JS-C成人双极，JD-C成人单极</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CAE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D71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4BE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169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8D7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A30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A6B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7B1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随弃式导电粘胶中性极板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010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S-E儿童双极,JD-C儿童单极</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6AA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635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B49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1F5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2292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44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118E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C3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676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DE9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F97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857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5DD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FA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746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67EB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164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67E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B8D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E78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201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FB2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C84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B98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F3F2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B2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451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4DD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249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A62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F9D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A47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D52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3BE2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274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758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一次性使用导尿包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7DC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5.3mm（16Fr)</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0E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8B6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34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281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4073.4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DF4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458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A63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B68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一次性使用麻醉用针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AA8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0.7*90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7DA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CCA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B20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06F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D68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82C9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68C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8A7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EE0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10*12cm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7C7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ECC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84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12.24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68C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470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3C01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266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10E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医用耦合剂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009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C5E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6B5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4CE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56C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14D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4EB9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D19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588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医用无菌敷贴（输液贴）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C49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S-1型（输液贴） 70mm*35mm*100片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2CC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47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811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CA0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DB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C288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DAB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E62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硅胶潘氏引流管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075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6.0mm(F18)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015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2AC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A65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CAF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CBD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F6A9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2BC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722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66A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9C7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1AD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EB8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420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EED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8B87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0CA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3E9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323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134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481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CF0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1F7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B8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CD14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523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0A8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27E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70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57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9CE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DBF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48B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B00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1C9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6C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C81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89C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0CD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DF7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36A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BF0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6BD7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5A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38E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A42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872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E37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515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B77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9A0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249D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BA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EDC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149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E7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ADC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1D6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4C4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243.6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4A1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7407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7C3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20E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005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35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AE0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CF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2AD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B56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355A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32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6FC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B75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E2D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D8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B1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15E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B18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448A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B7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90C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A8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3EA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E75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883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A75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1461.6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8CE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BA75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59D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6F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055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277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A06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57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7F6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1461.6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1F3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2BDA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B75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2AE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AD6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09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6A7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B8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166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003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7414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8F1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349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772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100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2BB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564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B5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F7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776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BA6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494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咬合纸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FDC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115*22毫米</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1C0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C2C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1E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189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C50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62D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99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52A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67E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输氧面罩A型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673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72E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386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35A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779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23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248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65F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一次性使用气管插管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2CA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052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874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25B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0ED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CE2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84B2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D0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CF5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一次性使用输氧面罩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799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 大号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651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C5A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091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75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321.3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174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0A5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3B0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CAD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31A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 1.5cm*12根/不带针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54F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7BE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E3B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160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20D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E4F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3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1F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磁疗贴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A7D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耳穴专用（Ⅱ型） 120片/盒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954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896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2EE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D5E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15378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E10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23F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D0D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374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1B8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塑型桡骨下端固定夹板（成人L号）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C55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0CB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BD4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708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00F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BED4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90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79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AB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塑型桡骨下端固定夹板（成人XL号）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5BF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57E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97D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F9F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94B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6BD6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766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EA2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FE3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塑型桡骨下端固定夹板（成人M号）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C5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2F2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2E8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A70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D23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00C6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7A3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FCB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315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塑型桡骨下端固定夹板（成人S号）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1E6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C76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76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868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A45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A6B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BD5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59E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CCB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4-0，角针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15B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F03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7C8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EA3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B78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0DB0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49D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DFC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8AF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2-0，圆针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B7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AD1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51D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747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E2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3E2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A03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28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2A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3-0，圆针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D86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D57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3E7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B42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2D3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3234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9CA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27D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7E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0，圆针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F1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AAB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7D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B62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410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973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FE4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58E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一次性使用麻醉呼吸管路组件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8B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普通标准A型 成人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5C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7AB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6CE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ADA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E83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31E1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E5B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7D3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一次性使用麻醉呼吸管路组件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D9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普通标准A型 小儿</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155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71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821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71E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E2C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09E5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5FD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A97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0DB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前牙A2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B07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E1A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A6D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FE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438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6642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740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E97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幻彩光固化复合树脂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D1B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后牙 A2 4g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143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D6A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63F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45C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3B7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F3EA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D21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FF8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胃肠超声助显剂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2B5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FE9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6DB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9C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4C9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122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F908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606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25F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478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前牙A3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F6E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10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3FF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DEA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9EF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85F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22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3D8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一次性使用腰硬联合麻醉穿刺套件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044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AS-E/S II 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63A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C8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FA9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E8F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FFC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79C2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29D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699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21D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后牙色系 P-A3 2.7ml/支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E34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D97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854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FA2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C43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9C5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B8D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26D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透气胶带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B0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1.25cm×910cm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ABB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C0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366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102.72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D62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014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37D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5BC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8F2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重组胶原蛋白敷料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2B8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椭圆型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4D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E7E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E27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C0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721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1991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D8B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FD0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重组胶原蛋白修复敷料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77F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50g G/R型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3E2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65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88A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6AF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4F0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7853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56C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77B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氟保护漆</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482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3ml/支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E65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F4D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47D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FE9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E3C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696F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152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05D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化学换肤术护理包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E49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40人份</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2A5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份</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202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7B7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CF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338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C26E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367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47C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阴道电极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97F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SV2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F4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3B8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E91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70E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C38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8491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85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EEE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直肠电极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40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SA2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54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539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C11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DEF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4D0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39E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DED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689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医用导电膏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AAE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CT10/100g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8B3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6D0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C0B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E5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8D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B62E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C95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EDA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光固化正畸粘接剂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E70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712——035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E68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CF2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422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5FF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A95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6F79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28B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B07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自酸蚀粘接剂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24A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6FC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3D5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4B4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C45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DD7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458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4E1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5E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一次性使用有创压力传感器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A95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TR-DP1-248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9FD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B03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784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F82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7D7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5CF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396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42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化学换肤术护理包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6A9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HLB-A型III型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FE8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份</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DBE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7D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FF1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F04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54AE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657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FAB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一次性使用无菌阴道扩张器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CC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B3B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996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D3A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ED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73F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134D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894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22E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一次性使用雾化管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7BA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5F0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90B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942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DB6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400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A286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92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DF9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负压引流（吸引）接管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10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1500mm、2000mm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E9B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AE6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F6F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257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0C6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021B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BDC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59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人工呼吸急救苏醒球套组</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D25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DF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BF3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33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33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99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09A4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478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11B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小针刀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60B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20B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3BF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027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682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014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8C0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098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434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可吸收外科缝线（胶原蛋白）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F22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 2cm*10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0BE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BB7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36D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077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7BB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CB8B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F42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946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环球针灸针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7DB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0.5  0.6 0.8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118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C05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07B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1D7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A26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9AC9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6B0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83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火针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0D3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18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16C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B09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03A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7BA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DBBD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039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9FC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医用聚乙烯醇海绵</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A90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I型 PVF-J8*2*1.5cm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E75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8F4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33B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C0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120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A2E0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41C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7C6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一次性使用埋线针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DF5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MX-0.8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03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54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3E5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0B5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C1B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E4B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D21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E57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重组胶原蛋白液体敷料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F68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6FE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0F4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7B5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036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4A2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F4AF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42D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BC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2B8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46B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CCD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0E7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37B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B04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806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9D5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3A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医用重组胶原蛋白头部护理敷料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EDF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B11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3E0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577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640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07C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F71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DEE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968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皮肤针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1C6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4E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934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A2B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34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8AF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9DDA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5C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64E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无针输液接头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A6B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IV恒压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5F6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1D0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4A8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492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D42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2C11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95D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F00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一次性使用高压造影注射器及附件（多通道连接管）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FF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82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586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9E4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20E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85C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AC3C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DBC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5A3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一次性使用痔疮冷冻治疗栓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7CD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XJH-ZC-I</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82E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433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967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684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987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51CE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95D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48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7E3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10cm*24cm*8层</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0E0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3F0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4A5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F42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F10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90C5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7A1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152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一次性医用脑棉片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847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174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5A3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805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BA9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C92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8A63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9DA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761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一次性医用中单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393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BD6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FA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2A1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1BF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6BD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529D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AE2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50C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理疗电极片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987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DK-03  40MM*40MM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0A8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BFC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02C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F42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9CA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874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B6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4E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2C8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CB9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ECF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B7E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B00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628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6EDA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575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3A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AC4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D3E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09B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nil"/>
              <w:left w:val="nil"/>
              <w:bottom w:val="nil"/>
              <w:right w:val="nil"/>
            </w:tcBorders>
            <w:shd w:val="clear" w:color="auto" w:fill="auto"/>
            <w:vAlign w:val="center"/>
          </w:tcPr>
          <w:p w14:paraId="07222C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464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53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511A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400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8C8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192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A43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511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nil"/>
              <w:left w:val="nil"/>
              <w:bottom w:val="nil"/>
              <w:right w:val="nil"/>
            </w:tcBorders>
            <w:shd w:val="clear" w:color="auto" w:fill="auto"/>
            <w:vAlign w:val="center"/>
          </w:tcPr>
          <w:p w14:paraId="4B79D5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5C0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A90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88C8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B64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F5D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45D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FC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21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nil"/>
              <w:left w:val="nil"/>
              <w:bottom w:val="nil"/>
              <w:right w:val="nil"/>
            </w:tcBorders>
            <w:shd w:val="clear" w:color="auto" w:fill="auto"/>
            <w:vAlign w:val="center"/>
          </w:tcPr>
          <w:p w14:paraId="672E6C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F8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F7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8B82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B08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41E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F6A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794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95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nil"/>
              <w:left w:val="nil"/>
              <w:bottom w:val="nil"/>
              <w:right w:val="nil"/>
            </w:tcBorders>
            <w:shd w:val="clear" w:color="auto" w:fill="auto"/>
            <w:vAlign w:val="center"/>
          </w:tcPr>
          <w:p w14:paraId="590FE3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CFF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C1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74F8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229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97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F02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A8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51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nil"/>
              <w:left w:val="nil"/>
              <w:bottom w:val="nil"/>
              <w:right w:val="nil"/>
            </w:tcBorders>
            <w:shd w:val="clear" w:color="auto" w:fill="auto"/>
            <w:vAlign w:val="center"/>
          </w:tcPr>
          <w:p w14:paraId="1A6317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97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04D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B394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00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407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一次性使用雾化器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ADC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咬嘴型 大号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C18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C02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787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11E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33696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58C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FB16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149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A0B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一次性使用雾化管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669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咬嘴B型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694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BB1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E7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26F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07F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654F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197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389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6F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 R315 90cm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2FD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1E8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F3B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CC2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E4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DE9F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557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85C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631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9*34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D8C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3C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AD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4A8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1A3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7238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995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97D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E7B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6*15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CDD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894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F25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922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C27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4B8F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C21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DAC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D38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圆1/2 6*15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6F3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F5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91C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EF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BE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B470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20C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897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游离牵引钩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FEB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10XI</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7F7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0CD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FCF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DCE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C7A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A263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DFC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F2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医用固定带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A08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肋骨固定带</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74A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466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414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106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B3E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5295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1A6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CDB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根管锉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D4D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 #15 25mm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838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板</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4AF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F4C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E21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103.25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998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85F0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4A1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E69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279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小号*200g/包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6D7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DEF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5A8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304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309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540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CCC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293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91F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E68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B47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EB0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FBF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8E6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1C8C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077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5F9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牙科石膏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313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1.5公斤</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6F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AD5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D3C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2DE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9D2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1FF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CC5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527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970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超弹型（方形）：SE-R-1925-L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CF7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92E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841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97E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521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A0B2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A57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D75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0DD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超弹型（方形）：SE-R-1622-U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248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B38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88D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84F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977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9236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F40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AE6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83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超弹型（方形）：SE-R-1622-L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495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BFB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422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76C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E83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7D7F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887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97F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A76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超弹型（方形）：SE-R-1722-U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D2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3C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7B5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96B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96A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B3D3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897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14A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50F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超弹型（方形）：SE-R-1722-L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36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FFC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A4C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08D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75B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E858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915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F37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D88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超弹型（方形）：SE-R-1822-L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AC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5EB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66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4E9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220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C242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AC0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86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F1C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超弹型（方形）：SE-R-1925-U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1FF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C69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8C5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964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A11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A52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3DF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F6A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04F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超弹型（方形）：SE-R-1825-L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8F7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E53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5C5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EFE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E2A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549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564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6A5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齿科藻酸盐印模材料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CA2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Tropicalgin  453g/包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81A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F9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F8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8E0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56E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580C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FDE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FAA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丝线编织非吸收性缝线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3F2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 15*60cm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74E2C">
            <w:pPr>
              <w:jc w:val="center"/>
              <w:rPr>
                <w:rFonts w:hint="eastAsia" w:ascii="宋体" w:hAnsi="宋体" w:eastAsia="宋体" w:cs="宋体"/>
                <w:i w:val="0"/>
                <w:iCs w:val="0"/>
                <w:color w:val="auto"/>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ADF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04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997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A5F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E57A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3AC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E8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正畸弹簧</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C4D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OS-12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D40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674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8C9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615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583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A2CB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36F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7ED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正畸弹性体（正畸弹性橡皮链）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0D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15FT(4.57M)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829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62A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78F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2E4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9D7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BE5D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D06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310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一次性内窥镜保护套 </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4A1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IRE100T 50元/个 100个</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E08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DA7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64B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11C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FF9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C8B0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B92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532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窝沟封闭剂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A16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D7D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7DB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061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62E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163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F5FB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C83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0D8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纤维桩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725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015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906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22F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604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10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AA12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17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921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一次性使用呼吸回路</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2D8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HO-HD1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7D4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027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8E4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AD2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B00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B50B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2FA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E1B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血压袖带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168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CM1203(通用型）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79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478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9DF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1A1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CD9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64AE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1A5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8FE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血氧传感器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820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成人指套式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6D0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D19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DBF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FD0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738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1AE1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10F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426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一次性使用喉镜片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C01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TDC-3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1F1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2F7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3D4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698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25E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C29F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AE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873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齿科用根管充填材料（派克斯）2克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C03A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652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44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53F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9E3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9F2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591A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8DD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FA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涡轮手机</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417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快速</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961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418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CD5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17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A1C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58F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756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6B5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止血海绵</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C3F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60mm*20mm*5mm/A型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B83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BCE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66D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F5D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CC5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17C2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0F2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0DC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A09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95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DB9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A58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73D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D82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E874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EF2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00C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医用超声耦合剂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994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31D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D44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78C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FA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2CE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D9B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C7D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E62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负压吸引器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F45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 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0AA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E4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2E8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A82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C14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1B82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3E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C2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一次性使用精密过滤输液器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4AB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JMT-0.2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492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A0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AAD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E9B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188.5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2D9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698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218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CF0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牙胶尖</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22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EF7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BC0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4E0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492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BA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16AD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7B8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D63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一次性使用硅橡胶引流球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458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55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374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E15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596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166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2DCD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FD7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8C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医用无菌防护套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D84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长方形200cm*14cm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2D7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7BF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92F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706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2EA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E343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E17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F4E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吸收性明胶海绵</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CFD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 型 60mm*20mm*5mm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AA5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92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E4F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87C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E90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42D2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95B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95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义齿基托树脂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77C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II型，I类（自凝型，粉和液）</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4B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CDA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056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F6B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D34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C1EB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785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A65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齿科酸蚀剂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63D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35% 2.5ml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81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462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C5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1CE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783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F642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6B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66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医用雾化眼罩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818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SCWYB-L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50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5F3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6CB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4BB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583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8994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57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081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护肤粉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9FD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1970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CBD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E81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95F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9D3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405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02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01E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7B1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正畸弹性体（分牙圈）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A99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15条/袋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9F1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55E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700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052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A30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129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FAD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709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血压袖带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F6E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M5124/15-100-0118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C40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58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C9A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FF5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322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712F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093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E8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一次性使用避光输液器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AAF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243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151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5CC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06B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E0E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ED82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8C2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83A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塑料吸管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79A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AC2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7A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C6D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872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9CF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8A4C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F4A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002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非吸收性外科缝线尼龙线（眼科专用）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611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N68084D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75(6-0)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43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8E4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6A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1A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B392A">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2CD6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9AD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23F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E0BBF">
            <w:pPr>
              <w:jc w:val="center"/>
              <w:rPr>
                <w:rFonts w:hint="eastAsia" w:ascii="宋体" w:hAnsi="宋体" w:eastAsia="宋体" w:cs="宋体"/>
                <w:i w:val="0"/>
                <w:iCs w:val="0"/>
                <w:color w:val="auto"/>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2A8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EF6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BF0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6C0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0619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AF8D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895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486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一次性医用扫床刷</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51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477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84F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8A5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D8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62A4">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FD81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99F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EA0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含氯消毒粉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231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10g/包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554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431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421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2DD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C063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D2DB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4DE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FBC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一次性无菌医用帽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3F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A43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5F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0BA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A00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DE75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8A4B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3EA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18C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网纹易撕胶布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886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2cm*9.1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832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F1C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919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ED1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0103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F56E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62A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4B8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一次性医用棉签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9EC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12cm*30支*50包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41A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4D1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24B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199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9E15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F9A8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15E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F4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脱脂棉球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C1C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0.5g 10粒装/袋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A21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F31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1DC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D04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71BBA">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EE44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50E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C8E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医用石蜡棉球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F08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4B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0B2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268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F7A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2893.8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0B145">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60A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C9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2E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A7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042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4B2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75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289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9087A">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7AA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A6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629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一次性使用手术单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297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60*80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A0A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C28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0B2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8A8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AF881">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D8BB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F8F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4ED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医用胶带纸胶布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582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2.5cm*9.1M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472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681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EDE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6ED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5753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A88A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C8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C62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一次性医用棉签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B9B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18cm*200支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F12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1B0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CDC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6.97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8EC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4879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7BE1">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8813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31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76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75%乙醇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12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3CA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59D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A0C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D5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66499">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35DA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F28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9EE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尖底离心管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3FD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10ml/支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970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B0B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C0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CDF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92185">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B765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9D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DB3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一次性使用手术单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276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A型垫单50cm*80cm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A93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C43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40F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F77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7CA6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7134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95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6CE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D88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36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1F2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6A7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CF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39D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F773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58A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275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一次性使用医用橡胶检查手套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D1A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B32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D4A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F9F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7B2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4D49E">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589A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BCE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24A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一次性使用医用橡胶检查手套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32F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C4F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4EB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EC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DE6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CFD6E">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A4DE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E14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618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538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0E1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458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5D3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F44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F4485">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C7D7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C17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76F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180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C81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A7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4E8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0CD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E4885">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BCF3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C91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0FC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玻璃体温计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E63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三角型  棒式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D7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8F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F74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CA4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E8E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A603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464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A0F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负压引流吸引接管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698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A型2000mm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F9A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F22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07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A52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9B68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696D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D54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79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甘油</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7E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656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A1D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2BA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163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40.88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029B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FB66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B95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8D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一次性使用医用橡胶检查手套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D5D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6B1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A5A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DCC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E64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C5CFA">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565F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9B7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C2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橡胶B超探头探头隔离保护套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317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A型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BE2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89A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BE7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18E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4362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1822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AC2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9F6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医用灭菌包装无纺布（标准型）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CC8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80*80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BE2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CF0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4B7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505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0BD93">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04E2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200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B1F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55D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49B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677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292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B9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EECE">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7638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F48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8BD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口腔印模金属牙托</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350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大号(L) 1付/袋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C03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7D6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06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403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EFC24">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DFB8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E27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ECD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37F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024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93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8D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9F3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BB0BE">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187E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1F4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E89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99A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3D9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D2E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D6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570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0E7D1">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7D63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DDA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AD7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牙科磷酸锌水门汀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4A7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357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67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FC3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D8D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1BDB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403D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87D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A1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碘伏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52A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A32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932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730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285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B7E5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3F7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61B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4A5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一次性使用手术单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99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5AA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096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9D8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AEB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59E4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C9F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6FC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F1C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医用灭菌包装无纺布（标准型）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F4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100*100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456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180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513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88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CD78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F8D8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CF2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20C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616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6AA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5E3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A2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A42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EF33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3F89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046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852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651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922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7F5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F04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1A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3742.2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300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CB2E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E33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3AD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083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29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C61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555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91F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4001.4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FA2DE">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C169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66B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DBB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AE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A59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228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B1A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A1E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229D1">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736E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274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C01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一次性使用灭菌橡胶外科手套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CC3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7D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4A8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56D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585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6805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117D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F5D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0DA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打样牙托—金属网牙托</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763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19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9DF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143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B07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42AB9">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3586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09B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0F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口腔印模金属牙托</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DF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中号（M) 1付/袋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370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38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95F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46C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54C0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6A67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FB5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629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模型蜡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6E9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239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F40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581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48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EDF21">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B1E0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6C1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8B4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44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TC-21EF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12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9BD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865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293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5A01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BBFF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A02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6A8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C28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TC-S21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7DE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014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061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B7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5962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35FB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F2A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FE5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1C2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TC-26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3A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4CD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8C8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6F4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EC32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ECA9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2CA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077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283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TC-11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BDF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62F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3B6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74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F503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33D0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7A9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1BB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0C5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BR-45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60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1CD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108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9A5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1CB9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6DEF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6E3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C26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66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 TC-26 5只*1盒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2AC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183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1ED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2BA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C69F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43C0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09B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EDF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可吸收性外科缝线（胶原蛋白）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493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 2cm×10cm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CCC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4D4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F2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13F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EA22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4584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8F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6C3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安尔碘Ⅱ型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532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D84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085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696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6F5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96B3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CC7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B5C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175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牙科膜片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798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Splint 方形127*127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D4E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F5D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D53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B90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801E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6A53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1D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E41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一次性使用医用手术薄膜（眼科专用）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C6E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140*140（眼科专用）180*140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E8C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0EC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DF9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493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C812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9C3B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CE1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C33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一次性使用子宫</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造影通水管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063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34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E8A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45D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EA5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77AD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21FD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C22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63E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75%乙醇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DDB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E9D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1D4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1EC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AA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1439.1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2AA6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BF41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2D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46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95%乙醇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1FA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380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A22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F2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DD9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1465.95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AD9B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9FC6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4F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E3B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白凡士林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E7E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8C5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B25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A6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80A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318.5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751B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57E4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959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13F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动脉血气生化试剂包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AEE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50人份/盒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7E7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份</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759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843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AF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C3C7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7EA1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5FE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2BB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康田正消毒刷</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2F7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MA01 中</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ADC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E5F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C0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46.97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D99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469.7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455F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8152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CB1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307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一次性使用口腔涂药棒</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5D0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35A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F4C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F6F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2BA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B14E">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1754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666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82C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医用润宝-医用润滑液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BFA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无菌液状石腊 20ml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F10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9B7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E9C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36D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88FA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0699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7D1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789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3M灭菌书写指示胶带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8AE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1322L  10cm*2cm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521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37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BF4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C5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223.95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7001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113A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C70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C55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洗脱液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004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776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02A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06A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3C4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9F7D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7568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1D0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A66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过氧化氢热敏打印纸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7C0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326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D73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8C3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7D9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7820.4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65F7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BE1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142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E2E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过氧化氢热敏打印纸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A6B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A6E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D12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7FA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802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F2B7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4568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1BF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A0F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一次性医用输液瓶口贴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947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329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36E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597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2D4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3566.2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2B88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2927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187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2B6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含氯消毒片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1EF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100片/瓶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1A5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8F5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C5F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461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3312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A57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E91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94C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隔离衣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6C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反穿式120*140cm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CDE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FC2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279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EE4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F6B5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8B4E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950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016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洗脱液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957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07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32E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CD2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3D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379.8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56B3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A17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605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14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脉搏血氧饱和度仪</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09A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Prince-100A</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B2B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96A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2C6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160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170.1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40D1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1CA7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1C3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27F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新世纪自凝仿生牙托粉3#</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935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7B8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380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D9C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B74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9CCD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5040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420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9FE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指夹式脉搏血氧仪</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C56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YX301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2EF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3EC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514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E31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11B8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B91A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F9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C1E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艾灸盒</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CF7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单孔</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72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1C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50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76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B09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DD60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8F5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53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洁芙柔洗手液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477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487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8A9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FCF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7CE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2481.92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3ADE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DCBE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A51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79E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一次性中心静脉置管穿刺护理包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4AA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B型中心静脉导管维护换药护理型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E25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95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D25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546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6CF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DAFE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A00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64C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一次性使用无菌手术膜B型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372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B型C4545EN45cm*45cm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07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D85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854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E6D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210D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8898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272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32B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听诊器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52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插入式二用（A）型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CDE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1E8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86C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070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60B7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C3A3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D65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95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消博士医用擦手纸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20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200抽/包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91A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DAC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506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13E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FEFF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09F5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DA9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B43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医用折叠擦手纸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53C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230*225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7D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152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017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625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46F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4715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0DE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74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G-1型消毒剂浓度试纸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730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20本/盒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62A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本</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728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701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646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635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6310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8E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3AF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十二导心电图记录纸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5F5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210mm*140mm-20m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D80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本</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EFA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9A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343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5B70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6F6F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453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B88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二氧化碳吸附剂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BDC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1D0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080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4D2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333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5FB4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9785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6EB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248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紫外线杀菌灯</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06C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ZW30S19W-Z894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FEE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E75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0F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0EE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A509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B9A0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E71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F17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CP</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605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DAE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CF9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11B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51C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567A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E83F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C6C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2E4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朗力牌（I）抑菌液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5DD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E03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FFD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2DF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A95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B81E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9835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FB8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9C3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医用凡士林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2D27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282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524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D78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EB0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75FB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E9EC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023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F3C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暂时填充材料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504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BA0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88F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02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DE9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25D4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2FE4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D67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45C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6FC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21C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B1E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7F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E7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1079.52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3679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036D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C02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FD0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957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9FF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B99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015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BCB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52DE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07B2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0DF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72B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500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0AA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604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520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934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C069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69F9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F5A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DC7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92F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2D4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C08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243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C36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022E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A560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A91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88B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带囊气管插管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D5F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F0F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B81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BF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7B7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325F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AF81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2AD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6EC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荧光素钠眼科检测试纸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AE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1条/袋10袋/盒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203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FAD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0AC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7DF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BC4C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865B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6AB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1D1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自粘型医用弹力绷带卷</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23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7.5*450cm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622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B3E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56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EB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4B2E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B061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536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EC1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132℃压力蒸汽化学指示卡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D05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IY1321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3F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EF4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43F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AD1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8764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5DC7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BEB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09D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新华牌132℃压力蒸汽灭菌化学指示卡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3D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IY1321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6AE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182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637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DFF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5A8B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F91F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7AF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2F8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弹性体印膜材料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9D2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3型（轻体</w:t>
            </w:r>
            <w:r>
              <w:rPr>
                <w:rFonts w:hint="eastAsia" w:ascii="宋体" w:hAnsi="宋体" w:cs="宋体"/>
                <w:i w:val="0"/>
                <w:iCs w:val="0"/>
                <w:color w:val="auto"/>
                <w:kern w:val="0"/>
                <w:sz w:val="24"/>
                <w:szCs w:val="24"/>
                <w:u w:val="none"/>
                <w:lang w:val="en-US" w:eastAsia="zh-CN" w:bidi="ar"/>
              </w:rPr>
              <w:t>三次</w:t>
            </w:r>
            <w:r>
              <w:rPr>
                <w:rFonts w:hint="eastAsia" w:ascii="宋体" w:hAnsi="宋体" w:eastAsia="宋体" w:cs="宋体"/>
                <w:i w:val="0"/>
                <w:iCs w:val="0"/>
                <w:color w:val="auto"/>
                <w:kern w:val="0"/>
                <w:sz w:val="24"/>
                <w:szCs w:val="24"/>
                <w:u w:val="none"/>
                <w:lang w:val="en-US" w:eastAsia="zh-CN" w:bidi="ar"/>
              </w:rPr>
              <w:t>印膜）50ml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5FB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7AF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7CA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19.87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256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68C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4D13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A68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6C6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齿科超硬模型石膏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896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1000g/袋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765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9CF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A8B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C87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5DEB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56F0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3C8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DB8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透明一件式造口袋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4EC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15541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571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6A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0D2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581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7276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8DE7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B8D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251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一次性使用精细药液过滤器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1B0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WEO-D-P-32-3.0/01IV</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C52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72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C62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790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C42E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9721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33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B3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一次性聚乙烯薄膜手套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CC7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中码*700只*1盒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14E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86B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02E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057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4779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719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D337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517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600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一次性成像冲洗液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523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DFE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7E7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C2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83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0957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5428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13B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80E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塑封袋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D6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7号（200个/包）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241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18E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C28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157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C933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C74F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DF1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3E1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塑封袋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A68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9.5号（200个/包）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35B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E3E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723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6C2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395C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6038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10E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4EB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十二导心电图记录纸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DBB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210mm*295mm-200P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4E5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本</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850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65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A70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4EFF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7D4F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234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DB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一次性隔离膜</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125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F5D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DA2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BD0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D51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EF3C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653C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1A6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5DE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一次性无菌三腔气囊导尿管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6CC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35B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AF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A3F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F7B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58C3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BA38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B0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606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一次性无菌三腔气囊导尿管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066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344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688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A03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3D9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A301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B4CE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2F5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195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医用器械除锈剂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EA2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BF3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A7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2D7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6BF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62CE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3E67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833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AA3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医用器械润滑油</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92E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7AC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BF7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97C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A9D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C528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14D8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253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912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洁芙柔免洗手消毒凝胶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B9A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6A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96D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6CC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776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DCF1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B28F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E4C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026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脱脂棉球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045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B3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102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039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C6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414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2FD4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0DC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CBE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伽玛卫生湿巾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A04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20cm*14cm*150片/包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ED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4FB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A23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091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5802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141D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37E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23D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52B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新华牌压力蒸汽灭菌1小时极速生物指示剂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9E0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B1323 50支*1盒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CFD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372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4EF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D99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197.4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92F4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6316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C67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B76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新华牌压力蒸汽灭菌效果监测快速生物指示剂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3F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B1322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8D3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BA7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6A8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269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5E65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07F8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6D0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D2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压力蒸汽灭菌1小时极速生物指示剂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1D5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B1323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6D5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9D1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84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222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905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E3C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10A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F6B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牙挺</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D4C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37D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251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26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0F8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5226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6CA9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768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CC8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51D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F6A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2D9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FF8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7F4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F333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C8FD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852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B8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新华牌B-D预警测试包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4ED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BY1344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D60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4BB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14A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38.94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09E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9345.6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684C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3D90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87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3D4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蒸汽灭菌1322指示胶带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42B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1322-240.94 24mm*55mm0.94in*60yd</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054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A9A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D70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B9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1364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51A4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BD97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48D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95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3M医用肉肤色纸胶带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D2D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5cm*5M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51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655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78F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4E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CF09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AA24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066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C4A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一次性使用精细药液过滤器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D79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WEO-D-P-43-3.0/01IV</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3F6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EBF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A48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3F1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D180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5199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A98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103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多酶清洗液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FB6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600ml/瓶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E48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482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2FD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EB7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2ED8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9939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DDD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4B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过氧化氢热敏打印纸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DBC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88E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D3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75A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95E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C059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28CA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DEF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1AE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55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B60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850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E6B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C4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B948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D8F9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20D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44F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压力蒸汽灭菌化学测试包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6A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PD1321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AD7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778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B01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FB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AC7D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72D6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35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CE3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电解质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DB6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1000g/袋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011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E1A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CC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D59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F726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415D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30F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6CE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一次性医用防护服</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918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175/180/185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8B5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D2A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107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354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836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849C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141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C6C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中医坐浴器熏洗盆</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17FD">
            <w:pPr>
              <w:jc w:val="center"/>
              <w:rPr>
                <w:rFonts w:hint="eastAsia" w:ascii="宋体" w:hAnsi="宋体" w:eastAsia="宋体" w:cs="宋体"/>
                <w:i w:val="0"/>
                <w:iCs w:val="0"/>
                <w:color w:val="auto"/>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70F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C53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B76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DA4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FA2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B3E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588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667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消博士卫生湿巾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1BD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80片/包（含季铵盐）</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299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D3B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C30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DFA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8BC8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85F2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5A9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B82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2C0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979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614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700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634.84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329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1269.68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806C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C3FD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946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62D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牙科X线胶片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B66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30mm*40mm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17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22B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209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F2E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3961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EFE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0BE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8EF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消博士免洗手消毒凝胶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C63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D0B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C80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C5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64C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4A8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DC5D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701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3B2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正畸橡皮链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C93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中距</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E65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圈</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4CE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F58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261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E26F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8DDC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BEA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A1C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血压计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408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52C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D72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C7F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406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E310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06FE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04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43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白石膏粉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A2C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20公斤</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861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D6C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24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142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E900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D9A7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B47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EB9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预成型不锈钢正畸方丝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4F2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0.28*0.25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465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75E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B7C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2F1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5D8B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8E6E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A57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38A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朗力慢失TM消毒凝胶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9B9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F4F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D99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5AE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74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E2CD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6D08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176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E66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无砷失活剂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E3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D39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68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AEE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7F2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710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6844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0F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297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正畸橡皮筋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BFC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4分之1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034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6CD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E71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1C5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761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FE48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7FF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5CF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正畸橡皮筋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DF8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16分之5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D74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971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CE0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E4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5A8F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666F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AB6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C42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紫外线强度指示卡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8A8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559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254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65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420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567.6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677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89C9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962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90D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CF5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35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7C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597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A4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8BB1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344D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C3E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52A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过氧化氢低温等离子体灭菌过程指示胶带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DFF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TB2035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033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75D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203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0AF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546.36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4ADB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B535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D21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59B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过氧化氢低温等离子体灭菌过程指示卡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A8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IB0503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302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5A3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A60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44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B457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80CC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5D3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20F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FA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IB0503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9B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22C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7F3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CA3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3613.5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FD7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42DF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3E4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976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D1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A7A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252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459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48.47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A4E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96.94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9353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2981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2B0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D4A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过氧化氢低温等离子体灭菌1小时极速生物指示剂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307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B5002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4A8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9FF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D49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588.16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4D8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17644.8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6CFB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FDED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EBB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906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II型过氧化氢低温等离子体灭菌过程指示标签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103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900片/袋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4CD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538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AC5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355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BB2B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2A6E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2C2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1A1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光滑髓针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2C2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7D7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39A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751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BD1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11F2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C8AB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92B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378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透明二件式造口袋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D15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15541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6A1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CBA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E9E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A3C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7736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5F76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90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29A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光固化氢氧化钙间接盖髓剂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9FB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1307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32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8E7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3D2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C56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93B9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BAA8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96C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531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再生剂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EA8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5kg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B5A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5kg/袋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DFC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B53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23.69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175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1184.5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753C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E52B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A4E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8E1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正畸弹力线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2F3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25FT(6.5m)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B4A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097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FD7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657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813A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1B70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9C3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3AD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医疗器械中性多酶清洗剂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201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185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35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290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303.45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BC6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3034.5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C5A9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1D50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93E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E3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病人监护仪血压监测袖带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18C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81E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38D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3F6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684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B74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1409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746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151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输液港蝶翼针 无损伤蝶形针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B0D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0444833220G（0.9mm)*15mm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B30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61F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CAE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75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628B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D35F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247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50C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非吸收性外科缝线尼龙线（眼科专用）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95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NA8063D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0EC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DB1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CF5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16E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5F18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693D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67D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06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非接触式红外体温计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4CC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JXB-178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9EE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A43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C3E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99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2383.5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C030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530A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BD9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E40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BF8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157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16A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3EA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762.26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594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1524.52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F78C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41E7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06D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855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过氧化氢低温等离子体灭菌器100过氧化氢卡匣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900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HC1001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125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574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71F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259.33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B48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6483.25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99E1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4D6F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0E3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060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合成树脂牙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78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L/A419 U25,30K0, 20KU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AA7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3B4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ED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B7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547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B477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54F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5C1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体表理疗电极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E29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SK5OWF-Y1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13C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BCD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F1C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BB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3144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3815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10E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16E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紫外线灯车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2FD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SX型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FCE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897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62F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0AA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E731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A3FE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288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9F3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FF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C5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5DA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2C7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513.17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E6D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2565.85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BA56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E494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EB6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9AE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肛瘘探针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10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18cm双头球2.5/环银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8AA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06F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F8B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EC8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8088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B7B6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1CD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1FD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封口测试纸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FCB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STEAM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A3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058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321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80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8BE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1420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0FB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55B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封口测试纸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1BE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VH202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0E8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33F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B08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222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34A6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CC14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50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3D8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造口袋瘘口防漏膏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1F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Brava12050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97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6D0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2BC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CCC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DAF5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90B8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879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62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快速高效多酶洗剂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267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1L/桶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0BC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21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995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818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0BBE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0EF1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C13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12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动脉血气分析质控液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9F5FD">
            <w:pPr>
              <w:jc w:val="center"/>
              <w:rPr>
                <w:rFonts w:hint="eastAsia" w:ascii="宋体" w:hAnsi="宋体" w:eastAsia="宋体" w:cs="宋体"/>
                <w:i w:val="0"/>
                <w:iCs w:val="0"/>
                <w:color w:val="auto"/>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017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F61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FC1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1FB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16F4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D2D1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AFA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86E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电子血压计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9CC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HEM-6121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05B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440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570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90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401A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B588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5A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41F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276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718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84A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D73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828.26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6EA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4969.56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B89D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16C2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4CA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66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27B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893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40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4F8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9FD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02FE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3DB0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44A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E16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成人AG采样管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0B5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MASIMO</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0B1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7C5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CD4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261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2049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5D03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54B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7D5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而至富士I 玻璃离子水门汀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0BD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浅黄色</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569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960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C84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583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488B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C6C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B7A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613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而至富士IX 玻璃离子水门汀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5F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浅黄色</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FD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CC9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9CC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029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BFF1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F4B2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F04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E49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主流气道适配器成人</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E2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REF:6063-00单病人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EF1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72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F48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AB9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6AAB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645F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1D9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B62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医用超声雾化器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C41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402AI</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8B4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5C6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CBA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37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353A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14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3B2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54F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过氧乙酸消毒液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0BD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8F7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086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F4E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288.11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3F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8643.3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BDF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BE3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0DD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671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电子血压计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139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HEM-7130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F3F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A02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ADD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42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F9AE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F69F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0E8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F5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内镜专用多酶清洗剂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479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63F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189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539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AE0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BAFB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4B77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C59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46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病人监护仪血氧饱和度监测导联线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449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3D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F0B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F82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6B8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A4B9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E4F1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D87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579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美佳印弹性体印模材料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6CD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 型250ml*2  3型 50ml*1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07E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C3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052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51D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0888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EE58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F3A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F3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润滑防锈剂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ACF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3EC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A72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CF8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014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2104.44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F45F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A001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692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D4A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经外周中心静脉导管PICC-耐高压型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D2E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长度≧50cm 单腔</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31C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17C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95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431.9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3D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4319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14E2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0D34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1E7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F0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病人监护仪心电导联线（5导联）</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82F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7E3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A6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464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29B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8070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9E7E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DA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60D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普特5代自锁直丝弓托槽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9E8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自锁托槽系列 B类自锁MBT托槽</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3B8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643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675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D8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CB7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8220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127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DED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动脉血气分析试剂卡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2A0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25人份/盒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578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008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659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84B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D149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1572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752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54D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医用棉签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7A8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322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266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CB8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12A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BC07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CEA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B56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447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竹压舌板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D63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142*16*1.6mm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1ED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9C7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84F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0B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746B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4D27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81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9F6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一次性使用脚套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7CE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100只/袋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F01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D0F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C1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FB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4417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3864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24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934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一次性使用医疗卫生用品（手术帽）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57D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256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8BF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450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075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58C6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3561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38B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32F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一次性医用防护服</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297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175、180、185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A09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37A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A8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8D0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766.6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BD09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5D0B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40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88D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一次性使用医疗卫生用品（手术衣）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6E7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 120*130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4AC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B8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213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D8B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84A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D987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3C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F0A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电子输注泵YD-B-3（药袋）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935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022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D5C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BFE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FB4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C438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546A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86D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B1A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电子输注泵YD-B-3（电驱动控制器）（泵头）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8D2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50D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8B7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46B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5C6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F26A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A284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356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79C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电子输注泵YD-B-3（电驱动控制器）（泵头）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8A1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YG-B-3（275ml）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11C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16F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6A1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7EF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4F2A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1DB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4A2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255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电子输注泵YD-B-3（药袋）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30A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YG-B-3（275ml）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B29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21D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5FD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D32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D495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A367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B8B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78F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测氯试条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608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4米/卷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1BF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BA0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6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024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DC2E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9F5C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253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5F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AFF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B8A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330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56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C2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7667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7AD7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523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85C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导联线三导联</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C233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928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99E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C34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A5C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647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73C4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F56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B0A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血氧探头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AD4F3">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80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5A1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0F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4FC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498E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C476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0C6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EE5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电池</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CFC7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1C6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993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887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7D2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B754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539D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8B7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D8F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121℃压力蒸汽灭菌化学指示卡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39A6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153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D4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47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970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2F7D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bl>
    <w:p w14:paraId="70C7F118">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default" w:ascii="宋体" w:hAnsi="宋体" w:cs="宋体"/>
          <w:bCs/>
          <w:color w:val="auto"/>
          <w:sz w:val="24"/>
          <w:szCs w:val="24"/>
          <w:highlight w:val="none"/>
          <w:lang w:val="en-US" w:eastAsia="zh-CN"/>
        </w:rPr>
      </w:pPr>
    </w:p>
    <w:p w14:paraId="4392FB3C">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default" w:ascii="宋体" w:hAnsi="宋体" w:eastAsia="宋体" w:cs="宋体"/>
          <w:color w:val="auto"/>
          <w:sz w:val="24"/>
          <w:szCs w:val="24"/>
          <w:highlight w:val="none"/>
          <w:lang w:val="en-US" w:eastAsia="zh-CN"/>
        </w:rPr>
      </w:pPr>
    </w:p>
    <w:p w14:paraId="4CCF8D27">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color w:val="auto"/>
          <w:sz w:val="24"/>
          <w:szCs w:val="24"/>
          <w:highlight w:val="none"/>
        </w:rPr>
      </w:pPr>
    </w:p>
    <w:p w14:paraId="318526A6">
      <w:pPr>
        <w:keepNext w:val="0"/>
        <w:keepLines w:val="0"/>
        <w:pageBreakBefore w:val="0"/>
        <w:kinsoku/>
        <w:wordWrap/>
        <w:overflowPunct/>
        <w:topLinePunct w:val="0"/>
        <w:autoSpaceDE/>
        <w:autoSpaceDN/>
        <w:bidi w:val="0"/>
        <w:adjustRightInd/>
        <w:spacing w:line="500" w:lineRule="exact"/>
        <w:ind w:firstLine="480" w:firstLineChars="200"/>
        <w:textAlignment w:val="auto"/>
        <w:rPr>
          <w:rFonts w:hint="eastAsia" w:ascii="宋体" w:hAnsi="宋体" w:cs="宋体"/>
          <w:color w:val="auto"/>
          <w:sz w:val="24"/>
          <w:szCs w:val="24"/>
          <w:highlight w:val="none"/>
          <w:lang w:val="en-US" w:eastAsia="zh-CN"/>
        </w:rPr>
      </w:pPr>
    </w:p>
    <w:bookmarkEnd w:id="214"/>
    <w:p w14:paraId="7A8FBC25">
      <w:pPr>
        <w:rPr>
          <w:rFonts w:ascii="宋体" w:hAnsi="宋体"/>
          <w:color w:val="auto"/>
          <w:sz w:val="32"/>
          <w:szCs w:val="32"/>
          <w:highlight w:val="none"/>
        </w:rPr>
      </w:pPr>
    </w:p>
    <w:p w14:paraId="713D10F0">
      <w:pPr>
        <w:spacing w:line="360" w:lineRule="auto"/>
        <w:ind w:firstLine="480" w:firstLineChars="200"/>
        <w:rPr>
          <w:rFonts w:ascii="宋体" w:hAnsi="宋体" w:cs="宋体"/>
          <w:color w:val="auto"/>
          <w:sz w:val="24"/>
          <w:szCs w:val="24"/>
          <w:highlight w:val="none"/>
          <w:lang w:bidi="ar"/>
        </w:rPr>
      </w:pPr>
      <w:r>
        <w:rPr>
          <w:rFonts w:ascii="宋体" w:hAnsi="宋体" w:cs="宋体"/>
          <w:color w:val="auto"/>
          <w:sz w:val="24"/>
          <w:szCs w:val="24"/>
          <w:highlight w:val="none"/>
          <w:lang w:bidi="ar"/>
        </w:rPr>
        <w:br w:type="page"/>
      </w:r>
    </w:p>
    <w:p w14:paraId="293E973B">
      <w:pPr>
        <w:pStyle w:val="43"/>
        <w:rPr>
          <w:rFonts w:ascii="宋体" w:hAnsi="宋体" w:eastAsia="宋体"/>
          <w:color w:val="auto"/>
          <w:highlight w:val="none"/>
        </w:rPr>
      </w:pPr>
    </w:p>
    <w:p w14:paraId="382DAC58">
      <w:pPr>
        <w:pStyle w:val="7"/>
        <w:spacing w:line="360" w:lineRule="auto"/>
        <w:ind w:firstLine="480" w:firstLineChars="200"/>
        <w:rPr>
          <w:rFonts w:hAnsi="宋体"/>
          <w:color w:val="auto"/>
          <w:sz w:val="24"/>
          <w:szCs w:val="24"/>
          <w:highlight w:val="none"/>
        </w:rPr>
      </w:pPr>
    </w:p>
    <w:p w14:paraId="6BB5810D">
      <w:pPr>
        <w:pStyle w:val="2"/>
        <w:jc w:val="center"/>
        <w:rPr>
          <w:rFonts w:hint="eastAsia" w:ascii="宋体" w:hAnsi="宋体" w:cs="宋体"/>
          <w:color w:val="auto"/>
          <w:highlight w:val="none"/>
        </w:rPr>
      </w:pPr>
      <w:bookmarkStart w:id="216" w:name="_Toc7596"/>
      <w:r>
        <w:rPr>
          <w:rFonts w:hint="eastAsia" w:ascii="宋体" w:hAnsi="宋体" w:cs="宋体"/>
          <w:color w:val="auto"/>
          <w:highlight w:val="none"/>
        </w:rPr>
        <w:t>第七章 投标文件格式</w:t>
      </w:r>
      <w:bookmarkEnd w:id="215"/>
      <w:bookmarkEnd w:id="216"/>
    </w:p>
    <w:p w14:paraId="4D79F648">
      <w:pPr>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资格审查部分封面</w:t>
      </w:r>
    </w:p>
    <w:p w14:paraId="65254390">
      <w:pPr>
        <w:rPr>
          <w:rFonts w:hint="eastAsia" w:ascii="宋体" w:hAnsi="宋体" w:cs="宋体"/>
          <w:color w:val="auto"/>
          <w:highlight w:val="none"/>
        </w:rPr>
      </w:pPr>
    </w:p>
    <w:p w14:paraId="60B11E73">
      <w:pPr>
        <w:rPr>
          <w:rFonts w:hint="eastAsia" w:ascii="宋体" w:hAnsi="宋体" w:cs="宋体"/>
          <w:color w:val="auto"/>
          <w:highlight w:val="none"/>
        </w:rPr>
      </w:pPr>
    </w:p>
    <w:p w14:paraId="176560BF">
      <w:pPr>
        <w:rPr>
          <w:rFonts w:hint="eastAsia" w:ascii="宋体" w:hAnsi="宋体" w:cs="宋体"/>
          <w:color w:val="auto"/>
          <w:highlight w:val="none"/>
        </w:rPr>
      </w:pPr>
    </w:p>
    <w:p w14:paraId="7E77E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cs="宋体"/>
          <w:b/>
          <w:color w:val="auto"/>
          <w:sz w:val="44"/>
          <w:szCs w:val="44"/>
          <w:highlight w:val="none"/>
          <w:lang w:eastAsia="zh-CN"/>
        </w:rPr>
      </w:pPr>
      <w:r>
        <w:rPr>
          <w:rFonts w:hint="eastAsia" w:ascii="宋体" w:hAnsi="宋体" w:cs="宋体"/>
          <w:b/>
          <w:color w:val="auto"/>
          <w:sz w:val="44"/>
          <w:szCs w:val="44"/>
          <w:highlight w:val="none"/>
          <w:lang w:eastAsia="zh-CN"/>
        </w:rPr>
        <w:t>怒江州中医医院2025-2028年耗材配送服务采购项目（标段1：普通耗材配送服务）三次</w:t>
      </w:r>
    </w:p>
    <w:p w14:paraId="39CF8585">
      <w:pPr>
        <w:jc w:val="center"/>
        <w:rPr>
          <w:rFonts w:hint="eastAsia" w:ascii="宋体" w:hAnsi="宋体" w:eastAsia="宋体" w:cs="宋体"/>
          <w:b/>
          <w:color w:val="auto"/>
          <w:sz w:val="52"/>
          <w:szCs w:val="52"/>
          <w:highlight w:val="none"/>
          <w:lang w:eastAsia="zh-CN"/>
        </w:rPr>
      </w:pPr>
    </w:p>
    <w:p w14:paraId="04A3D238">
      <w:pPr>
        <w:pStyle w:val="11"/>
        <w:rPr>
          <w:rFonts w:hint="eastAsia"/>
          <w:color w:val="auto"/>
          <w:highlight w:val="none"/>
        </w:rPr>
      </w:pPr>
    </w:p>
    <w:p w14:paraId="27029996">
      <w:pPr>
        <w:rPr>
          <w:rFonts w:hint="eastAsia" w:ascii="宋体" w:hAnsi="宋体" w:cs="宋体"/>
          <w:b/>
          <w:bCs/>
          <w:color w:val="auto"/>
          <w:sz w:val="44"/>
          <w:szCs w:val="44"/>
          <w:highlight w:val="none"/>
        </w:rPr>
      </w:pPr>
    </w:p>
    <w:p w14:paraId="411576BC">
      <w:pPr>
        <w:rPr>
          <w:rFonts w:hint="eastAsia" w:ascii="宋体" w:hAnsi="宋体" w:cs="宋体"/>
          <w:b/>
          <w:bCs/>
          <w:color w:val="auto"/>
          <w:sz w:val="44"/>
          <w:szCs w:val="44"/>
          <w:highlight w:val="none"/>
        </w:rPr>
      </w:pPr>
    </w:p>
    <w:p w14:paraId="23320B81">
      <w:pPr>
        <w:rPr>
          <w:rFonts w:hint="eastAsia" w:ascii="宋体" w:hAnsi="宋体" w:cs="宋体"/>
          <w:b/>
          <w:bCs/>
          <w:color w:val="auto"/>
          <w:sz w:val="44"/>
          <w:szCs w:val="44"/>
          <w:highlight w:val="none"/>
        </w:rPr>
      </w:pPr>
    </w:p>
    <w:p w14:paraId="1450980F">
      <w:pPr>
        <w:jc w:val="center"/>
        <w:rPr>
          <w:rFonts w:hint="eastAsia" w:ascii="宋体" w:hAnsi="宋体" w:cs="宋体"/>
          <w:b/>
          <w:bCs/>
          <w:color w:val="auto"/>
          <w:sz w:val="52"/>
          <w:szCs w:val="52"/>
          <w:highlight w:val="none"/>
        </w:rPr>
      </w:pPr>
      <w:r>
        <w:rPr>
          <w:rFonts w:hint="eastAsia" w:ascii="宋体" w:hAnsi="宋体" w:cs="宋体"/>
          <w:b/>
          <w:bCs/>
          <w:color w:val="auto"/>
          <w:sz w:val="52"/>
          <w:szCs w:val="52"/>
          <w:highlight w:val="none"/>
        </w:rPr>
        <w:t>投 标 文 件</w:t>
      </w:r>
    </w:p>
    <w:p w14:paraId="2D73E6D5">
      <w:pPr>
        <w:jc w:val="center"/>
        <w:outlineLvl w:val="2"/>
        <w:rPr>
          <w:rFonts w:hint="eastAsia" w:ascii="宋体" w:hAnsi="宋体" w:cs="宋体"/>
          <w:b/>
          <w:bCs/>
          <w:color w:val="auto"/>
          <w:sz w:val="32"/>
          <w:szCs w:val="32"/>
          <w:highlight w:val="none"/>
        </w:rPr>
      </w:pPr>
      <w:bookmarkStart w:id="217" w:name="_Toc24997"/>
      <w:r>
        <w:rPr>
          <w:rFonts w:hint="eastAsia" w:ascii="宋体" w:hAnsi="宋体" w:cs="宋体"/>
          <w:b/>
          <w:bCs/>
          <w:color w:val="auto"/>
          <w:sz w:val="32"/>
          <w:szCs w:val="32"/>
          <w:highlight w:val="none"/>
        </w:rPr>
        <w:t>资格审查部分</w:t>
      </w:r>
      <w:bookmarkEnd w:id="217"/>
    </w:p>
    <w:p w14:paraId="5142B018">
      <w:pPr>
        <w:rPr>
          <w:rFonts w:hint="eastAsia" w:ascii="宋体" w:hAnsi="宋体" w:cs="宋体"/>
          <w:b/>
          <w:bCs/>
          <w:color w:val="auto"/>
          <w:sz w:val="44"/>
          <w:szCs w:val="44"/>
          <w:highlight w:val="none"/>
        </w:rPr>
      </w:pPr>
    </w:p>
    <w:p w14:paraId="7FD4ACCB">
      <w:pPr>
        <w:rPr>
          <w:rFonts w:hint="eastAsia" w:ascii="宋体" w:hAnsi="宋体" w:cs="宋体"/>
          <w:b/>
          <w:bCs/>
          <w:color w:val="auto"/>
          <w:sz w:val="44"/>
          <w:szCs w:val="44"/>
          <w:highlight w:val="none"/>
        </w:rPr>
      </w:pPr>
    </w:p>
    <w:p w14:paraId="415ABE4D">
      <w:pPr>
        <w:rPr>
          <w:rFonts w:hint="eastAsia" w:ascii="宋体" w:hAnsi="宋体" w:cs="宋体"/>
          <w:b/>
          <w:bCs/>
          <w:color w:val="auto"/>
          <w:sz w:val="44"/>
          <w:szCs w:val="44"/>
          <w:highlight w:val="none"/>
        </w:rPr>
      </w:pPr>
    </w:p>
    <w:p w14:paraId="57DDE5DD">
      <w:pPr>
        <w:rPr>
          <w:rFonts w:hint="eastAsia" w:ascii="宋体" w:hAnsi="宋体" w:cs="宋体"/>
          <w:b/>
          <w:bCs/>
          <w:color w:val="auto"/>
          <w:sz w:val="44"/>
          <w:szCs w:val="44"/>
          <w:highlight w:val="none"/>
        </w:rPr>
      </w:pPr>
    </w:p>
    <w:p w14:paraId="3543CB03">
      <w:pPr>
        <w:ind w:firstLine="1205" w:firstLineChars="5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投标人：</w:t>
      </w:r>
      <w:r>
        <w:rPr>
          <w:rFonts w:hint="eastAsia" w:ascii="宋体" w:hAnsi="宋体" w:cs="宋体"/>
          <w:b/>
          <w:bCs/>
          <w:color w:val="auto"/>
          <w:sz w:val="24"/>
          <w:szCs w:val="24"/>
          <w:highlight w:val="none"/>
          <w:u w:val="singl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(电子签章)</w:t>
      </w:r>
    </w:p>
    <w:p w14:paraId="0B1F8483">
      <w:pPr>
        <w:rPr>
          <w:rFonts w:hint="eastAsia" w:ascii="宋体" w:hAnsi="宋体" w:cs="宋体"/>
          <w:b/>
          <w:bCs/>
          <w:color w:val="auto"/>
          <w:sz w:val="24"/>
          <w:szCs w:val="24"/>
          <w:highlight w:val="none"/>
        </w:rPr>
      </w:pPr>
    </w:p>
    <w:p w14:paraId="51CDC83B">
      <w:pPr>
        <w:ind w:firstLine="1205" w:firstLineChars="5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法定代表人(单位负责人)或其委托代理人：</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(电子签章)</w:t>
      </w:r>
    </w:p>
    <w:p w14:paraId="6B1534EB">
      <w:pPr>
        <w:rPr>
          <w:rFonts w:hint="eastAsia" w:ascii="宋体" w:hAnsi="宋体" w:cs="宋体"/>
          <w:b/>
          <w:bCs/>
          <w:color w:val="auto"/>
          <w:sz w:val="24"/>
          <w:szCs w:val="24"/>
          <w:highlight w:val="none"/>
        </w:rPr>
      </w:pPr>
    </w:p>
    <w:p w14:paraId="42A7C470">
      <w:pPr>
        <w:ind w:firstLine="1205" w:firstLineChars="500"/>
        <w:rPr>
          <w:rFonts w:hint="eastAsia" w:ascii="宋体" w:hAnsi="宋体" w:cs="宋体"/>
          <w:b/>
          <w:bCs/>
          <w:color w:val="auto"/>
          <w:sz w:val="24"/>
          <w:szCs w:val="24"/>
          <w:highlight w:val="none"/>
        </w:rPr>
        <w:sectPr>
          <w:headerReference r:id="rId14" w:type="default"/>
          <w:footerReference r:id="rId15" w:type="default"/>
          <w:pgSz w:w="11905" w:h="16838"/>
          <w:pgMar w:top="1191" w:right="1191" w:bottom="1191" w:left="1304" w:header="567" w:footer="777" w:gutter="0"/>
          <w:pgNumType w:fmt="decimal"/>
          <w:cols w:space="0" w:num="1"/>
          <w:docGrid w:linePitch="312" w:charSpace="0"/>
        </w:sectPr>
      </w:pPr>
      <w:r>
        <w:rPr>
          <w:rFonts w:hint="eastAsia" w:ascii="宋体" w:hAnsi="宋体" w:cs="宋体"/>
          <w:b/>
          <w:bCs/>
          <w:color w:val="auto"/>
          <w:sz w:val="24"/>
          <w:szCs w:val="24"/>
          <w:highlight w:val="none"/>
        </w:rPr>
        <w:t xml:space="preserve">日期： </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年</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月</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日</w:t>
      </w:r>
    </w:p>
    <w:p w14:paraId="245C6D32">
      <w:pPr>
        <w:pStyle w:val="32"/>
        <w:rPr>
          <w:rFonts w:hint="eastAsia" w:ascii="宋体"/>
          <w:color w:val="auto"/>
          <w:highlight w:val="none"/>
        </w:rPr>
      </w:pPr>
    </w:p>
    <w:p w14:paraId="26B95672">
      <w:pPr>
        <w:pStyle w:val="5"/>
        <w:spacing w:before="0" w:after="0" w:line="720" w:lineRule="auto"/>
        <w:jc w:val="center"/>
        <w:rPr>
          <w:rFonts w:hint="eastAsia" w:ascii="宋体" w:hAnsi="宋体" w:cs="宋体"/>
          <w:color w:val="auto"/>
          <w:sz w:val="28"/>
          <w:szCs w:val="28"/>
          <w:highlight w:val="none"/>
        </w:rPr>
      </w:pPr>
      <w:bookmarkStart w:id="218" w:name="_Toc24434"/>
      <w:bookmarkEnd w:id="218"/>
      <w:bookmarkStart w:id="219" w:name="_Toc184"/>
      <w:bookmarkEnd w:id="219"/>
      <w:bookmarkStart w:id="220" w:name="_Toc14917"/>
      <w:bookmarkEnd w:id="220"/>
      <w:bookmarkStart w:id="221" w:name="_Toc29133"/>
      <w:bookmarkEnd w:id="221"/>
      <w:bookmarkStart w:id="222" w:name="_Toc7364"/>
      <w:bookmarkStart w:id="223" w:name="_Toc11682"/>
      <w:r>
        <w:rPr>
          <w:rFonts w:hint="eastAsia" w:ascii="宋体" w:hAnsi="宋体" w:cs="宋体"/>
          <w:color w:val="auto"/>
          <w:sz w:val="28"/>
          <w:szCs w:val="28"/>
          <w:highlight w:val="none"/>
        </w:rPr>
        <w:t>一、具有独立承担民事责任的能力</w:t>
      </w:r>
      <w:bookmarkEnd w:id="222"/>
      <w:bookmarkEnd w:id="223"/>
    </w:p>
    <w:p w14:paraId="71AD94D7">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具有独立承担民事责任的能力。提供法人或者其他组织的营业执照等证明文件。</w:t>
      </w:r>
    </w:p>
    <w:p w14:paraId="521C7BA6">
      <w:pPr>
        <w:pStyle w:val="16"/>
        <w:tabs>
          <w:tab w:val="left" w:pos="5580"/>
        </w:tabs>
        <w:spacing w:line="360" w:lineRule="auto"/>
        <w:ind w:left="1080" w:leftChars="257" w:hanging="540"/>
        <w:rPr>
          <w:rFonts w:hint="eastAsia" w:hAnsi="宋体" w:cs="宋体"/>
          <w:color w:val="auto"/>
          <w:sz w:val="24"/>
          <w:szCs w:val="24"/>
          <w:highlight w:val="none"/>
        </w:rPr>
      </w:pPr>
    </w:p>
    <w:p w14:paraId="34279533">
      <w:pPr>
        <w:keepNext/>
        <w:keepLines/>
        <w:widowControl w:val="0"/>
        <w:spacing w:line="720" w:lineRule="auto"/>
        <w:jc w:val="center"/>
        <w:outlineLvl w:val="2"/>
        <w:rPr>
          <w:rFonts w:hint="eastAsia" w:ascii="宋体" w:hAnsi="宋体" w:cs="宋体"/>
          <w:b/>
          <w:bCs/>
          <w:color w:val="auto"/>
          <w:sz w:val="28"/>
          <w:szCs w:val="32"/>
          <w:highlight w:val="none"/>
        </w:rPr>
      </w:pPr>
      <w:bookmarkStart w:id="224" w:name="_Toc24593"/>
      <w:bookmarkEnd w:id="224"/>
      <w:bookmarkStart w:id="225" w:name="_Toc26536"/>
      <w:bookmarkStart w:id="226" w:name="_Toc24095"/>
      <w:r>
        <w:rPr>
          <w:rFonts w:hint="eastAsia" w:ascii="宋体" w:hAnsi="宋体" w:cs="宋体"/>
          <w:b/>
          <w:bCs/>
          <w:color w:val="auto"/>
          <w:sz w:val="28"/>
          <w:szCs w:val="28"/>
          <w:highlight w:val="none"/>
        </w:rPr>
        <w:t>二、具有良好的商业信誉和健全的财务会计制度</w:t>
      </w:r>
      <w:bookmarkEnd w:id="225"/>
      <w:bookmarkEnd w:id="226"/>
    </w:p>
    <w:p w14:paraId="56491765">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投标人须提供财务状况报告，内容可为以下两者之一：</w:t>
      </w:r>
    </w:p>
    <w:p w14:paraId="0796C93B">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①提供2023年或2024年经审计的财务报告（包括资产负债表、利润表、现金流量表、所有者权益变动表及其附注），新成立不满</w:t>
      </w:r>
      <w:r>
        <w:rPr>
          <w:rFonts w:hint="eastAsia" w:ascii="宋体" w:hAnsi="宋体" w:cs="宋体"/>
          <w:color w:val="auto"/>
          <w:kern w:val="2"/>
          <w:sz w:val="24"/>
          <w:szCs w:val="24"/>
          <w:highlight w:val="none"/>
          <w:u w:val="single"/>
          <w:lang w:bidi="ar"/>
        </w:rPr>
        <w:t>1</w:t>
      </w:r>
      <w:r>
        <w:rPr>
          <w:rFonts w:hint="eastAsia" w:ascii="宋体" w:hAnsi="宋体" w:cs="宋体"/>
          <w:color w:val="auto"/>
          <w:kern w:val="2"/>
          <w:sz w:val="24"/>
          <w:szCs w:val="24"/>
          <w:highlight w:val="none"/>
          <w:lang w:bidi="ar"/>
        </w:rPr>
        <w:t>年的投标人提供自成立至今的财务报表；</w:t>
      </w:r>
    </w:p>
    <w:p w14:paraId="238DEDCE">
      <w:pPr>
        <w:pStyle w:val="59"/>
        <w:ind w:firstLine="480" w:firstLineChars="200"/>
        <w:rPr>
          <w:rFonts w:hint="eastAsia" w:ascii="宋体" w:hAnsi="宋体" w:eastAsia="宋体"/>
          <w:color w:val="auto"/>
          <w:sz w:val="28"/>
          <w:szCs w:val="28"/>
          <w:highlight w:val="none"/>
        </w:rPr>
      </w:pPr>
      <w:r>
        <w:rPr>
          <w:rFonts w:hint="eastAsia" w:ascii="宋体" w:hAnsi="宋体" w:eastAsia="宋体"/>
          <w:color w:val="auto"/>
          <w:kern w:val="2"/>
          <w:sz w:val="24"/>
          <w:szCs w:val="24"/>
          <w:highlight w:val="none"/>
          <w:lang w:bidi="ar"/>
        </w:rPr>
        <w:t>②提供自投标文件提交截止时间前三个月内基本开户银行出具的资信证明。</w:t>
      </w:r>
    </w:p>
    <w:p w14:paraId="4F489AFE">
      <w:pPr>
        <w:pStyle w:val="59"/>
        <w:ind w:firstLine="480" w:firstLineChars="200"/>
        <w:rPr>
          <w:rFonts w:hint="eastAsia" w:ascii="宋体" w:hAnsi="宋体" w:eastAsia="宋体"/>
          <w:color w:val="auto"/>
          <w:sz w:val="24"/>
          <w:szCs w:val="24"/>
          <w:highlight w:val="none"/>
        </w:rPr>
      </w:pPr>
    </w:p>
    <w:p w14:paraId="79CD51E7">
      <w:pPr>
        <w:pStyle w:val="59"/>
        <w:ind w:firstLine="480" w:firstLineChars="200"/>
        <w:rPr>
          <w:rFonts w:hint="eastAsia" w:ascii="宋体" w:hAnsi="宋体" w:eastAsia="宋体"/>
          <w:color w:val="auto"/>
          <w:sz w:val="24"/>
          <w:szCs w:val="24"/>
          <w:highlight w:val="none"/>
        </w:rPr>
      </w:pPr>
    </w:p>
    <w:p w14:paraId="0C743860">
      <w:pPr>
        <w:pStyle w:val="5"/>
        <w:spacing w:before="0" w:after="0" w:line="720" w:lineRule="auto"/>
        <w:jc w:val="center"/>
        <w:rPr>
          <w:rFonts w:hint="eastAsia" w:ascii="宋体" w:hAnsi="宋体" w:cs="宋体"/>
          <w:color w:val="auto"/>
          <w:highlight w:val="none"/>
        </w:rPr>
      </w:pPr>
      <w:bookmarkStart w:id="227" w:name="_Toc25770"/>
      <w:bookmarkStart w:id="228" w:name="_Toc15035"/>
      <w:r>
        <w:rPr>
          <w:rFonts w:hint="eastAsia" w:ascii="宋体" w:hAnsi="宋体" w:cs="宋体"/>
          <w:color w:val="auto"/>
          <w:sz w:val="28"/>
          <w:szCs w:val="28"/>
          <w:highlight w:val="none"/>
        </w:rPr>
        <w:t>三、</w:t>
      </w:r>
      <w:bookmarkEnd w:id="227"/>
      <w:r>
        <w:rPr>
          <w:rFonts w:hint="eastAsia" w:ascii="宋体" w:hAnsi="宋体" w:cs="宋体"/>
          <w:color w:val="auto"/>
          <w:sz w:val="28"/>
          <w:szCs w:val="28"/>
          <w:highlight w:val="none"/>
        </w:rPr>
        <w:t>具有履行合同所必需的设备和专业技术能力</w:t>
      </w:r>
      <w:bookmarkEnd w:id="228"/>
    </w:p>
    <w:p w14:paraId="7751EEE7">
      <w:pPr>
        <w:pStyle w:val="59"/>
        <w:ind w:firstLine="480" w:firstLineChars="200"/>
        <w:rPr>
          <w:rFonts w:hint="eastAsia" w:ascii="宋体" w:hAnsi="宋体" w:eastAsia="宋体"/>
          <w:color w:val="auto"/>
          <w:sz w:val="24"/>
          <w:szCs w:val="24"/>
          <w:highlight w:val="none"/>
        </w:rPr>
      </w:pPr>
      <w:bookmarkStart w:id="229" w:name="_Toc14504"/>
      <w:bookmarkEnd w:id="229"/>
      <w:bookmarkStart w:id="230" w:name="_Toc20341"/>
      <w:r>
        <w:rPr>
          <w:rFonts w:hint="eastAsia" w:ascii="宋体" w:hAnsi="宋体" w:eastAsia="宋体"/>
          <w:color w:val="auto"/>
          <w:sz w:val="24"/>
          <w:szCs w:val="24"/>
          <w:highlight w:val="none"/>
        </w:rPr>
        <w:t>提供具备履行合同所必需的设备和专业技术能力的证明材料。</w:t>
      </w:r>
    </w:p>
    <w:p w14:paraId="6B237AB7">
      <w:pPr>
        <w:pStyle w:val="59"/>
        <w:ind w:firstLine="480" w:firstLineChars="200"/>
        <w:rPr>
          <w:rFonts w:hint="eastAsia" w:ascii="宋体" w:hAnsi="宋体" w:eastAsia="宋体"/>
          <w:color w:val="auto"/>
          <w:sz w:val="24"/>
          <w:szCs w:val="24"/>
          <w:highlight w:val="none"/>
        </w:rPr>
      </w:pPr>
    </w:p>
    <w:p w14:paraId="17D39F5D">
      <w:pPr>
        <w:pStyle w:val="59"/>
        <w:ind w:firstLine="480" w:firstLineChars="200"/>
        <w:rPr>
          <w:rFonts w:hint="eastAsia" w:ascii="宋体" w:hAnsi="宋体" w:eastAsia="宋体"/>
          <w:color w:val="auto"/>
          <w:sz w:val="24"/>
          <w:szCs w:val="24"/>
          <w:highlight w:val="none"/>
        </w:rPr>
      </w:pPr>
    </w:p>
    <w:bookmarkEnd w:id="230"/>
    <w:p w14:paraId="107F69ED">
      <w:pPr>
        <w:pStyle w:val="5"/>
        <w:spacing w:before="0" w:after="0" w:line="720" w:lineRule="auto"/>
        <w:jc w:val="center"/>
        <w:rPr>
          <w:rFonts w:hint="eastAsia" w:ascii="宋体" w:hAnsi="宋体" w:cs="宋体"/>
          <w:color w:val="auto"/>
          <w:highlight w:val="none"/>
        </w:rPr>
      </w:pPr>
      <w:bookmarkStart w:id="231" w:name="_Toc23521"/>
      <w:bookmarkStart w:id="232" w:name="_Toc6236"/>
      <w:r>
        <w:rPr>
          <w:rFonts w:hint="eastAsia" w:ascii="宋体" w:hAnsi="宋体" w:cs="宋体"/>
          <w:color w:val="auto"/>
          <w:sz w:val="28"/>
          <w:szCs w:val="28"/>
          <w:highlight w:val="none"/>
        </w:rPr>
        <w:t>四、</w:t>
      </w:r>
      <w:bookmarkEnd w:id="231"/>
      <w:r>
        <w:rPr>
          <w:rFonts w:hint="eastAsia" w:ascii="宋体" w:hAnsi="宋体" w:cs="宋体"/>
          <w:color w:val="auto"/>
          <w:sz w:val="28"/>
          <w:szCs w:val="28"/>
          <w:highlight w:val="none"/>
        </w:rPr>
        <w:t>有依法缴纳税收和社会保障资金的良好记录</w:t>
      </w:r>
      <w:bookmarkEnd w:id="232"/>
    </w:p>
    <w:p w14:paraId="7847F7A6">
      <w:pPr>
        <w:spacing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有依法缴纳税收和社会保障资金的良好记录。提供2024年7月至今任意2个月依法缴纳税收和缴纳社会保障资金的证明（成立未满2个月的提供成立以来的税收和社会保障资金缴纳凭据；依法免税或不需要缴纳社会保障资金的投标人，应提供相应文件证明其依法免税或不需要缴纳社会保障资金）。</w:t>
      </w:r>
    </w:p>
    <w:p w14:paraId="64FA4BD6">
      <w:pPr>
        <w:rPr>
          <w:rFonts w:ascii="宋体" w:hAnsi="宋体"/>
          <w:color w:val="auto"/>
          <w:highlight w:val="none"/>
        </w:rPr>
      </w:pPr>
      <w:r>
        <w:rPr>
          <w:rFonts w:ascii="宋体" w:hAnsi="宋体"/>
          <w:color w:val="auto"/>
          <w:highlight w:val="none"/>
        </w:rPr>
        <w:br w:type="page"/>
      </w:r>
    </w:p>
    <w:p w14:paraId="4707AA4D">
      <w:pPr>
        <w:pStyle w:val="32"/>
        <w:rPr>
          <w:rFonts w:hint="eastAsia" w:ascii="宋体"/>
          <w:color w:val="auto"/>
          <w:highlight w:val="none"/>
        </w:rPr>
      </w:pPr>
    </w:p>
    <w:p w14:paraId="06299D17">
      <w:pPr>
        <w:pStyle w:val="5"/>
        <w:spacing w:before="0" w:after="0" w:line="720" w:lineRule="auto"/>
        <w:jc w:val="center"/>
        <w:rPr>
          <w:rFonts w:hint="eastAsia" w:ascii="宋体" w:hAnsi="宋体" w:cs="宋体"/>
          <w:color w:val="auto"/>
          <w:highlight w:val="none"/>
        </w:rPr>
      </w:pPr>
      <w:bookmarkStart w:id="233" w:name="_Toc21948"/>
      <w:bookmarkStart w:id="234" w:name="_Toc11274"/>
      <w:r>
        <w:rPr>
          <w:rFonts w:hint="eastAsia" w:ascii="宋体" w:hAnsi="宋体" w:cs="宋体"/>
          <w:color w:val="auto"/>
          <w:sz w:val="28"/>
          <w:szCs w:val="28"/>
          <w:highlight w:val="none"/>
        </w:rPr>
        <w:t>五、参加政府采购活动前三年内，在经营活动中没有重大违法记录</w:t>
      </w:r>
      <w:bookmarkEnd w:id="233"/>
      <w:bookmarkEnd w:id="234"/>
    </w:p>
    <w:p w14:paraId="35E53A0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（采购人）</w:t>
      </w:r>
    </w:p>
    <w:p w14:paraId="3A226E1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（投标人自行承诺及说明，内容自拟）               </w:t>
      </w:r>
    </w:p>
    <w:p w14:paraId="7C79DCE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p>
    <w:p w14:paraId="6D6BA1AD">
      <w:pPr>
        <w:spacing w:line="360" w:lineRule="auto"/>
        <w:ind w:firstLine="480" w:firstLineChars="200"/>
        <w:rPr>
          <w:rFonts w:hint="eastAsia" w:ascii="宋体" w:hAnsi="宋体" w:cs="宋体"/>
          <w:color w:val="auto"/>
          <w:sz w:val="24"/>
          <w:szCs w:val="24"/>
          <w:highlight w:val="none"/>
        </w:rPr>
      </w:pPr>
    </w:p>
    <w:p w14:paraId="4EFC59E3">
      <w:pPr>
        <w:spacing w:line="360" w:lineRule="auto"/>
        <w:ind w:firstLine="480" w:firstLineChars="200"/>
        <w:rPr>
          <w:rFonts w:hint="eastAsia" w:ascii="宋体" w:hAnsi="宋体" w:cs="宋体"/>
          <w:color w:val="auto"/>
          <w:sz w:val="24"/>
          <w:szCs w:val="24"/>
          <w:highlight w:val="none"/>
        </w:rPr>
      </w:pPr>
    </w:p>
    <w:p w14:paraId="09653F86">
      <w:pPr>
        <w:spacing w:line="360" w:lineRule="auto"/>
        <w:ind w:firstLine="480" w:firstLineChars="200"/>
        <w:rPr>
          <w:rFonts w:hint="eastAsia" w:ascii="宋体" w:hAnsi="宋体" w:cs="宋体"/>
          <w:color w:val="auto"/>
          <w:sz w:val="24"/>
          <w:szCs w:val="24"/>
          <w:highlight w:val="none"/>
        </w:rPr>
      </w:pPr>
    </w:p>
    <w:p w14:paraId="64831A6D">
      <w:pPr>
        <w:ind w:firstLine="1205" w:firstLineChars="500"/>
        <w:rPr>
          <w:rFonts w:hint="eastAsia" w:ascii="宋体" w:hAnsi="宋体" w:cs="宋体"/>
          <w:b/>
          <w:bCs/>
          <w:color w:val="auto"/>
          <w:sz w:val="24"/>
          <w:szCs w:val="24"/>
          <w:highlight w:val="none"/>
        </w:rPr>
      </w:pPr>
    </w:p>
    <w:p w14:paraId="761E16BA">
      <w:pPr>
        <w:ind w:firstLine="1205" w:firstLineChars="500"/>
        <w:rPr>
          <w:rFonts w:hint="eastAsia" w:ascii="宋体" w:hAnsi="宋体" w:cs="宋体"/>
          <w:b/>
          <w:bCs/>
          <w:color w:val="auto"/>
          <w:sz w:val="24"/>
          <w:szCs w:val="24"/>
          <w:highlight w:val="none"/>
        </w:rPr>
      </w:pPr>
    </w:p>
    <w:p w14:paraId="6704DE8D">
      <w:pPr>
        <w:ind w:firstLine="1205" w:firstLineChars="500"/>
        <w:rPr>
          <w:rFonts w:hint="eastAsia" w:ascii="宋体" w:hAnsi="宋体" w:cs="宋体"/>
          <w:b/>
          <w:bCs/>
          <w:color w:val="auto"/>
          <w:sz w:val="24"/>
          <w:szCs w:val="24"/>
          <w:highlight w:val="none"/>
        </w:rPr>
      </w:pPr>
    </w:p>
    <w:p w14:paraId="3113EC1D">
      <w:pPr>
        <w:pStyle w:val="11"/>
        <w:rPr>
          <w:color w:val="auto"/>
          <w:highlight w:val="none"/>
        </w:rPr>
      </w:pPr>
    </w:p>
    <w:p w14:paraId="69029327">
      <w:pPr>
        <w:ind w:firstLine="1205" w:firstLineChars="500"/>
        <w:rPr>
          <w:rFonts w:hint="eastAsia" w:ascii="宋体" w:hAnsi="宋体" w:cs="宋体"/>
          <w:b/>
          <w:bCs/>
          <w:color w:val="auto"/>
          <w:sz w:val="24"/>
          <w:szCs w:val="24"/>
          <w:highlight w:val="none"/>
        </w:rPr>
      </w:pPr>
    </w:p>
    <w:p w14:paraId="4BE2FE3C">
      <w:pPr>
        <w:ind w:firstLine="1205" w:firstLineChars="5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投标人：</w:t>
      </w:r>
      <w:r>
        <w:rPr>
          <w:rFonts w:hint="eastAsia" w:ascii="宋体" w:hAnsi="宋体" w:cs="宋体"/>
          <w:b/>
          <w:bCs/>
          <w:color w:val="auto"/>
          <w:sz w:val="24"/>
          <w:szCs w:val="24"/>
          <w:highlight w:val="none"/>
          <w:u w:val="singl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(电子签章)</w:t>
      </w:r>
    </w:p>
    <w:p w14:paraId="3CAF247C">
      <w:pP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 xml:space="preserve"> </w:t>
      </w:r>
    </w:p>
    <w:p w14:paraId="48129360">
      <w:pPr>
        <w:ind w:firstLine="1205" w:firstLineChars="5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法定代表人(单位负责人)或其委托代理人：</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(电子签章)</w:t>
      </w:r>
    </w:p>
    <w:p w14:paraId="590C1EFC">
      <w:pP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 xml:space="preserve"> </w:t>
      </w:r>
    </w:p>
    <w:p w14:paraId="48A6DA73">
      <w:pPr>
        <w:ind w:firstLine="1205" w:firstLineChars="500"/>
        <w:rPr>
          <w:rFonts w:hint="eastAsia" w:ascii="宋体" w:hAnsi="宋体" w:cs="宋体"/>
          <w:color w:val="auto"/>
          <w:highlight w:val="none"/>
        </w:rPr>
      </w:pPr>
      <w:r>
        <w:rPr>
          <w:rFonts w:hint="eastAsia" w:ascii="宋体" w:hAnsi="宋体" w:cs="宋体"/>
          <w:b/>
          <w:bCs/>
          <w:color w:val="auto"/>
          <w:sz w:val="24"/>
          <w:szCs w:val="24"/>
          <w:highlight w:val="none"/>
        </w:rPr>
        <w:t>日期：</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 xml:space="preserve">年 </w:t>
      </w:r>
      <w:r>
        <w:rPr>
          <w:rFonts w:hint="eastAsia" w:ascii="宋体" w:hAnsi="宋体" w:cs="宋体"/>
          <w:b/>
          <w:bCs/>
          <w:color w:val="auto"/>
          <w:sz w:val="24"/>
          <w:szCs w:val="24"/>
          <w:highlight w:val="none"/>
          <w:u w:val="singl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 xml:space="preserve">月 </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日</w:t>
      </w:r>
      <w:bookmarkStart w:id="235" w:name="_Toc4022"/>
      <w:bookmarkEnd w:id="235"/>
      <w:bookmarkStart w:id="236" w:name="_Toc30512"/>
    </w:p>
    <w:bookmarkEnd w:id="236"/>
    <w:p w14:paraId="27420147">
      <w:pPr>
        <w:pStyle w:val="11"/>
        <w:rPr>
          <w:color w:val="auto"/>
          <w:highlight w:val="none"/>
        </w:rPr>
      </w:pPr>
    </w:p>
    <w:p w14:paraId="1C37EB83">
      <w:pPr>
        <w:pStyle w:val="11"/>
        <w:rPr>
          <w:color w:val="auto"/>
          <w:highlight w:val="none"/>
        </w:rPr>
      </w:pPr>
    </w:p>
    <w:p w14:paraId="0912BC8D">
      <w:pPr>
        <w:pStyle w:val="11"/>
        <w:rPr>
          <w:color w:val="auto"/>
          <w:highlight w:val="none"/>
        </w:rPr>
      </w:pPr>
    </w:p>
    <w:p w14:paraId="354F280D">
      <w:pPr>
        <w:pStyle w:val="11"/>
        <w:rPr>
          <w:rFonts w:hint="eastAsia"/>
          <w:color w:val="auto"/>
          <w:highlight w:val="none"/>
        </w:rPr>
      </w:pPr>
    </w:p>
    <w:p w14:paraId="63905870">
      <w:pPr>
        <w:pStyle w:val="11"/>
        <w:rPr>
          <w:rFonts w:hint="eastAsia"/>
          <w:color w:val="auto"/>
          <w:highlight w:val="none"/>
        </w:rPr>
      </w:pPr>
    </w:p>
    <w:p w14:paraId="391273FC">
      <w:pPr>
        <w:pStyle w:val="11"/>
        <w:rPr>
          <w:rFonts w:hint="eastAsia"/>
          <w:color w:val="auto"/>
          <w:highlight w:val="none"/>
        </w:rPr>
      </w:pPr>
    </w:p>
    <w:p w14:paraId="5E36AFB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注：重大违法记录，是指投标人因违法经营受到刑事处罚或者责令停产停业、吊销许可证或者执照、较大数额罚款等行政处罚。 </w:t>
      </w:r>
    </w:p>
    <w:p w14:paraId="5B78E5EE">
      <w:pPr>
        <w:rPr>
          <w:rFonts w:hint="eastAsia" w:ascii="宋体" w:hAnsi="宋体" w:cs="宋体"/>
          <w:b/>
          <w:bCs/>
          <w:color w:val="auto"/>
          <w:sz w:val="28"/>
          <w:szCs w:val="28"/>
          <w:highlight w:val="none"/>
        </w:rPr>
      </w:pPr>
      <w:bookmarkStart w:id="237" w:name="_Toc24676"/>
      <w:r>
        <w:rPr>
          <w:rFonts w:hint="eastAsia" w:ascii="宋体" w:hAnsi="宋体" w:cs="宋体"/>
          <w:b/>
          <w:bCs/>
          <w:color w:val="auto"/>
          <w:sz w:val="28"/>
          <w:szCs w:val="28"/>
          <w:highlight w:val="none"/>
        </w:rPr>
        <w:br w:type="page"/>
      </w:r>
    </w:p>
    <w:p w14:paraId="4AE6DE38">
      <w:pPr>
        <w:pStyle w:val="5"/>
        <w:numPr>
          <w:ilvl w:val="0"/>
          <w:numId w:val="0"/>
        </w:numPr>
        <w:spacing w:before="0" w:after="0" w:line="720" w:lineRule="auto"/>
        <w:jc w:val="center"/>
        <w:rPr>
          <w:rFonts w:hint="eastAsia" w:ascii="宋体" w:hAnsi="宋体" w:cs="宋体"/>
          <w:color w:val="auto"/>
          <w:sz w:val="24"/>
          <w:szCs w:val="24"/>
          <w:highlight w:val="none"/>
        </w:rPr>
      </w:pPr>
      <w:bookmarkStart w:id="238" w:name="_Toc5757"/>
      <w:r>
        <w:rPr>
          <w:rFonts w:hint="eastAsia" w:ascii="宋体" w:hAnsi="宋体" w:cs="宋体"/>
          <w:color w:val="auto"/>
          <w:sz w:val="28"/>
          <w:szCs w:val="28"/>
          <w:highlight w:val="none"/>
          <w:lang w:val="en-US" w:eastAsia="zh-CN"/>
        </w:rPr>
        <w:t>六、</w:t>
      </w:r>
      <w:r>
        <w:rPr>
          <w:rFonts w:hint="eastAsia" w:ascii="宋体" w:hAnsi="宋体" w:cs="宋体"/>
          <w:color w:val="auto"/>
          <w:sz w:val="28"/>
          <w:szCs w:val="28"/>
          <w:highlight w:val="none"/>
        </w:rPr>
        <w:t>法律、行政法规规定的其他条件。</w:t>
      </w:r>
      <w:bookmarkEnd w:id="238"/>
    </w:p>
    <w:p w14:paraId="2EB49B13">
      <w:pP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单位负责人为同一人或者存在直接控股、管理关系的不同投标人，不得参加同一合同项下的政府采购活动。</w:t>
      </w:r>
      <w:r>
        <w:rPr>
          <w:rFonts w:hint="eastAsia" w:ascii="宋体" w:hAnsi="宋体" w:cs="宋体"/>
          <w:color w:val="auto"/>
          <w:sz w:val="24"/>
          <w:szCs w:val="24"/>
          <w:highlight w:val="none"/>
          <w:lang w:val="en-US" w:eastAsia="zh-CN"/>
        </w:rPr>
        <w:t>(提供承诺书)</w:t>
      </w:r>
    </w:p>
    <w:p w14:paraId="6FB9AF0D">
      <w:pPr>
        <w:numPr>
          <w:ilvl w:val="0"/>
          <w:numId w:val="0"/>
        </w:numPr>
        <w:rPr>
          <w:rFonts w:hint="eastAsia"/>
          <w:color w:val="auto"/>
          <w:highlight w:val="none"/>
        </w:rPr>
      </w:pPr>
    </w:p>
    <w:p w14:paraId="7725ED3F">
      <w:pPr>
        <w:rPr>
          <w:rFonts w:hint="eastAsia"/>
          <w:color w:val="auto"/>
          <w:highlight w:val="none"/>
        </w:rPr>
      </w:pPr>
    </w:p>
    <w:p w14:paraId="655A35E9">
      <w:pPr>
        <w:rPr>
          <w:rFonts w:hint="eastAsia" w:ascii="宋体" w:hAnsi="宋体" w:cs="宋体"/>
          <w:color w:val="auto"/>
          <w:sz w:val="28"/>
          <w:szCs w:val="28"/>
          <w:highlight w:val="none"/>
          <w:lang w:val="en-US" w:eastAsia="zh-CN"/>
        </w:rPr>
      </w:pPr>
    </w:p>
    <w:p w14:paraId="5D4ABA2A">
      <w:pPr>
        <w:rPr>
          <w:rFonts w:hint="eastAsia" w:ascii="宋体" w:hAnsi="宋体" w:cs="宋体"/>
          <w:color w:val="auto"/>
          <w:sz w:val="24"/>
          <w:szCs w:val="24"/>
          <w:highlight w:val="none"/>
        </w:rPr>
      </w:pPr>
      <w:r>
        <w:rPr>
          <w:rFonts w:hint="eastAsia" w:ascii="宋体" w:hAnsi="宋体" w:cs="宋体"/>
          <w:color w:val="auto"/>
          <w:sz w:val="28"/>
          <w:szCs w:val="28"/>
          <w:highlight w:val="none"/>
          <w:lang w:val="en-US" w:eastAsia="zh-CN"/>
        </w:rPr>
        <w:br w:type="page"/>
      </w:r>
      <w:bookmarkEnd w:id="237"/>
      <w:bookmarkStart w:id="239" w:name="_Toc21530"/>
    </w:p>
    <w:p w14:paraId="71765AC1">
      <w:pPr>
        <w:pStyle w:val="5"/>
        <w:numPr>
          <w:ilvl w:val="0"/>
          <w:numId w:val="0"/>
        </w:numPr>
        <w:spacing w:before="0" w:after="0" w:line="720" w:lineRule="auto"/>
        <w:jc w:val="center"/>
        <w:rPr>
          <w:rFonts w:hint="eastAsia" w:ascii="宋体" w:hAnsi="宋体" w:eastAsia="宋体" w:cs="宋体"/>
          <w:color w:val="auto"/>
          <w:sz w:val="28"/>
          <w:szCs w:val="28"/>
          <w:highlight w:val="none"/>
          <w:lang w:val="en-US" w:eastAsia="zh-CN"/>
        </w:rPr>
      </w:pPr>
      <w:bookmarkStart w:id="240" w:name="_Toc9503"/>
      <w:r>
        <w:rPr>
          <w:rFonts w:hint="eastAsia" w:ascii="宋体" w:hAnsi="宋体" w:eastAsia="宋体" w:cs="宋体"/>
          <w:color w:val="auto"/>
          <w:sz w:val="28"/>
          <w:szCs w:val="28"/>
          <w:highlight w:val="none"/>
          <w:lang w:val="en-US" w:eastAsia="zh-CN"/>
        </w:rPr>
        <w:t>七、本项目的特定资格要求</w:t>
      </w:r>
      <w:bookmarkEnd w:id="240"/>
    </w:p>
    <w:p w14:paraId="0FBB4726">
      <w:pPr>
        <w:widowControl w:val="0"/>
        <w:spacing w:line="360" w:lineRule="auto"/>
        <w:ind w:firstLine="480" w:firstLineChars="200"/>
        <w:jc w:val="both"/>
        <w:rPr>
          <w:rFonts w:hint="eastAsia" w:ascii="宋体" w:hAnsi="宋体" w:cs="宋体"/>
          <w:b/>
          <w:bCs/>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1.投标人如果是代理商或经销商须提供：①医疗器械经营许可证/备案；②所投产品制造商医疗器械生产许可证(制造商工商注册地在中华人民共和国境外的，不做此要求)；③所投产品的医疗器械注册证及附件。</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40DE581B">
      <w:pPr>
        <w:widowControl w:val="0"/>
        <w:spacing w:line="360" w:lineRule="auto"/>
        <w:ind w:firstLine="480" w:firstLineChars="200"/>
        <w:jc w:val="both"/>
        <w:rPr>
          <w:rFonts w:hint="eastAsia" w:ascii="宋体" w:hAnsi="宋体" w:cs="宋体"/>
          <w:b/>
          <w:bCs/>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2.投标人如果是制造商须提供：①医疗器械生产许可证(制造商工商注册地在中华人民共和国境外的，不做此要求)；②所投产品的医疗器械注册证及附件。</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1E31D2B7">
      <w:pPr>
        <w:widowControl w:val="0"/>
        <w:spacing w:line="360" w:lineRule="auto"/>
        <w:ind w:firstLine="480" w:firstLineChars="200"/>
        <w:jc w:val="both"/>
        <w:rPr>
          <w:rFonts w:hint="eastAsia" w:ascii="宋体" w:hAnsi="宋体" w:cs="宋体"/>
          <w:b/>
          <w:bCs/>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医疗器械生产或医疗器械经营许可证范围须覆盖所投第二、三类医疗器械(根据中华人民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1BE71C54">
      <w:pPr>
        <w:spacing w:line="360" w:lineRule="auto"/>
        <w:ind w:firstLine="723" w:firstLineChars="200"/>
        <w:jc w:val="center"/>
        <w:outlineLvl w:val="9"/>
        <w:rPr>
          <w:rFonts w:hint="default" w:ascii="宋体" w:hAnsi="宋体" w:cs="宋体"/>
          <w:b/>
          <w:bCs/>
          <w:color w:val="auto"/>
          <w:sz w:val="36"/>
          <w:szCs w:val="36"/>
          <w:lang w:val="en-US" w:eastAsia="zh-CN"/>
        </w:rPr>
      </w:pPr>
      <w:r>
        <w:rPr>
          <w:rFonts w:hint="eastAsia" w:ascii="宋体" w:hAnsi="宋体" w:cs="宋体"/>
          <w:b/>
          <w:bCs/>
          <w:color w:val="auto"/>
          <w:sz w:val="36"/>
          <w:szCs w:val="36"/>
          <w:lang w:val="en-US" w:eastAsia="zh-CN"/>
        </w:rPr>
        <w:t>关于医疗器械注册证及附件中标后完整提供的承诺</w:t>
      </w:r>
    </w:p>
    <w:p w14:paraId="178C4AF5">
      <w:pPr>
        <w:spacing w:line="360" w:lineRule="auto"/>
        <w:ind w:firstLine="480" w:firstLineChars="200"/>
        <w:rPr>
          <w:rFonts w:hint="eastAsia" w:ascii="宋体" w:hAnsi="宋体" w:cs="宋体"/>
          <w:color w:val="auto"/>
          <w:sz w:val="24"/>
          <w:szCs w:val="24"/>
        </w:rPr>
      </w:pPr>
    </w:p>
    <w:p w14:paraId="283317F3">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r>
        <w:rPr>
          <w:rFonts w:hint="eastAsia" w:ascii="宋体" w:hAnsi="宋体" w:cs="宋体"/>
          <w:color w:val="auto"/>
          <w:sz w:val="24"/>
          <w:szCs w:val="24"/>
          <w:lang w:val="en-US" w:eastAsia="zh-CN"/>
        </w:rPr>
        <w:t>招标</w:t>
      </w:r>
      <w:r>
        <w:rPr>
          <w:rFonts w:hint="eastAsia" w:ascii="宋体" w:hAnsi="宋体" w:cs="宋体"/>
          <w:color w:val="auto"/>
          <w:sz w:val="24"/>
          <w:szCs w:val="24"/>
        </w:rPr>
        <w:t>人）</w:t>
      </w:r>
    </w:p>
    <w:p w14:paraId="301C24E0">
      <w:pPr>
        <w:spacing w:line="360" w:lineRule="auto"/>
        <w:ind w:firstLine="480" w:firstLineChars="200"/>
        <w:rPr>
          <w:rFonts w:hint="eastAsia" w:ascii="宋体" w:hAnsi="宋体" w:cs="宋体"/>
          <w:color w:val="auto"/>
          <w:sz w:val="24"/>
          <w:szCs w:val="24"/>
        </w:rPr>
      </w:pPr>
    </w:p>
    <w:p w14:paraId="1B74D57B">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lang w:val="en-US" w:eastAsia="zh-CN"/>
        </w:rPr>
        <w:t>投标人</w:t>
      </w:r>
      <w:r>
        <w:rPr>
          <w:rFonts w:hint="eastAsia" w:ascii="宋体" w:hAnsi="宋体" w:cs="宋体"/>
          <w:color w:val="auto"/>
          <w:sz w:val="24"/>
          <w:szCs w:val="24"/>
        </w:rPr>
        <w:t>自行承诺及说明，内容自拟）</w:t>
      </w:r>
    </w:p>
    <w:p w14:paraId="3680C169">
      <w:pPr>
        <w:spacing w:line="360" w:lineRule="auto"/>
        <w:ind w:firstLine="480" w:firstLineChars="200"/>
        <w:rPr>
          <w:rFonts w:hint="eastAsia" w:ascii="宋体" w:hAnsi="宋体" w:cs="宋体"/>
          <w:color w:val="auto"/>
          <w:sz w:val="24"/>
          <w:szCs w:val="24"/>
        </w:rPr>
      </w:pPr>
    </w:p>
    <w:p w14:paraId="20D51257">
      <w:pPr>
        <w:pStyle w:val="11"/>
        <w:rPr>
          <w:rFonts w:hint="eastAsia"/>
          <w:color w:val="auto"/>
        </w:rPr>
      </w:pPr>
    </w:p>
    <w:p w14:paraId="5D50A644">
      <w:pPr>
        <w:ind w:firstLine="1205" w:firstLineChars="500"/>
        <w:rPr>
          <w:rFonts w:hint="eastAsia" w:ascii="宋体" w:hAnsi="宋体" w:cs="宋体"/>
          <w:b/>
          <w:bCs/>
          <w:color w:val="auto"/>
          <w:sz w:val="24"/>
          <w:szCs w:val="24"/>
        </w:rPr>
      </w:pPr>
    </w:p>
    <w:p w14:paraId="6C92BA0E">
      <w:pPr>
        <w:spacing w:line="480" w:lineRule="auto"/>
        <w:ind w:right="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(电子签章)</w:t>
      </w:r>
    </w:p>
    <w:p w14:paraId="68AA7D71">
      <w:pPr>
        <w:spacing w:line="480" w:lineRule="auto"/>
        <w:ind w:right="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法定代表人(单位负责人)或其委托代理人：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(电子签章)</w:t>
      </w:r>
    </w:p>
    <w:p w14:paraId="1A356F9C">
      <w:pPr>
        <w:pStyle w:val="11"/>
        <w:rPr>
          <w:rFonts w:hint="eastAsia"/>
          <w:b w:val="0"/>
          <w:bCs w:val="0"/>
          <w:color w:val="auto"/>
          <w:lang w:val="en-US" w:eastAsia="zh-CN"/>
        </w:rPr>
      </w:pPr>
      <w:r>
        <w:rPr>
          <w:rFonts w:hint="eastAsia" w:ascii="宋体" w:hAnsi="宋体" w:eastAsia="宋体" w:cs="宋体"/>
          <w:b w:val="0"/>
          <w:bCs w:val="0"/>
          <w:color w:val="auto"/>
          <w:sz w:val="24"/>
          <w:szCs w:val="24"/>
          <w:highlight w:val="none"/>
        </w:rPr>
        <w:t>日期：</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年</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月</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日</w:t>
      </w:r>
    </w:p>
    <w:p w14:paraId="5C849A7D">
      <w:pPr>
        <w:widowControl w:val="0"/>
        <w:spacing w:line="360" w:lineRule="auto"/>
        <w:ind w:firstLine="480" w:firstLineChars="200"/>
        <w:jc w:val="both"/>
        <w:rPr>
          <w:rFonts w:hint="eastAsia" w:ascii="宋体" w:hAnsi="宋体" w:eastAsia="宋体" w:cs="宋体"/>
          <w:color w:val="auto"/>
          <w:kern w:val="2"/>
          <w:sz w:val="24"/>
          <w:szCs w:val="24"/>
          <w:highlight w:val="none"/>
          <w:lang w:val="en-US" w:eastAsia="zh-CN" w:bidi="ar"/>
        </w:rPr>
      </w:pPr>
    </w:p>
    <w:p w14:paraId="1D3F0A41">
      <w:pPr>
        <w:widowControl w:val="0"/>
        <w:spacing w:line="360" w:lineRule="auto"/>
        <w:ind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4.本项目不接受联合体投标，投标人自行承诺。</w:t>
      </w:r>
    </w:p>
    <w:p w14:paraId="295C6836">
      <w:pPr>
        <w:widowControl w:val="0"/>
        <w:spacing w:line="360" w:lineRule="auto"/>
        <w:ind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5.招标文件要求及投标人认为需要提交的其他资格证明材料。</w:t>
      </w:r>
    </w:p>
    <w:p w14:paraId="152D7EA2">
      <w:pPr>
        <w:pStyle w:val="32"/>
        <w:rPr>
          <w:rFonts w:hint="eastAsia" w:ascii="宋体"/>
          <w:color w:val="auto"/>
          <w:highlight w:val="none"/>
        </w:rPr>
      </w:pPr>
    </w:p>
    <w:p w14:paraId="44A2D915">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bookmarkEnd w:id="239"/>
    <w:p w14:paraId="569C6A96">
      <w:pPr>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商务技术部分封面</w:t>
      </w:r>
    </w:p>
    <w:p w14:paraId="2C8384BF">
      <w:pPr>
        <w:rPr>
          <w:rFonts w:hint="eastAsia" w:ascii="宋体" w:hAnsi="宋体" w:cs="宋体"/>
          <w:color w:val="auto"/>
          <w:highlight w:val="none"/>
        </w:rPr>
      </w:pPr>
    </w:p>
    <w:p w14:paraId="0374624C">
      <w:pPr>
        <w:rPr>
          <w:rFonts w:hint="eastAsia" w:ascii="宋体" w:hAnsi="宋体" w:cs="宋体"/>
          <w:color w:val="auto"/>
          <w:highlight w:val="none"/>
        </w:rPr>
      </w:pPr>
    </w:p>
    <w:p w14:paraId="434559B1">
      <w:pPr>
        <w:rPr>
          <w:rFonts w:hint="eastAsia" w:ascii="宋体" w:hAnsi="宋体" w:cs="宋体"/>
          <w:color w:val="auto"/>
          <w:highlight w:val="none"/>
        </w:rPr>
      </w:pPr>
    </w:p>
    <w:p w14:paraId="5B87C948">
      <w:pPr>
        <w:jc w:val="center"/>
        <w:rPr>
          <w:rFonts w:hint="eastAsia" w:ascii="宋体" w:hAnsi="宋体" w:eastAsia="宋体" w:cs="宋体"/>
          <w:b/>
          <w:color w:val="auto"/>
          <w:sz w:val="36"/>
          <w:szCs w:val="36"/>
          <w:highlight w:val="none"/>
          <w:lang w:eastAsia="zh-CN"/>
        </w:rPr>
      </w:pPr>
      <w:r>
        <w:rPr>
          <w:rFonts w:hint="eastAsia" w:ascii="宋体" w:hAnsi="宋体" w:cs="宋体"/>
          <w:b/>
          <w:color w:val="auto"/>
          <w:sz w:val="40"/>
          <w:szCs w:val="40"/>
          <w:highlight w:val="none"/>
          <w:lang w:eastAsia="zh-CN"/>
        </w:rPr>
        <w:t>怒江州中医医院2025-2028年耗材配送服务采购项目（标段1：普通耗材配送服务）三次</w:t>
      </w:r>
    </w:p>
    <w:p w14:paraId="35E02EAC">
      <w:pPr>
        <w:pStyle w:val="11"/>
        <w:rPr>
          <w:rFonts w:hint="eastAsia"/>
          <w:color w:val="auto"/>
          <w:highlight w:val="none"/>
        </w:rPr>
      </w:pPr>
    </w:p>
    <w:p w14:paraId="31C179C1">
      <w:pPr>
        <w:rPr>
          <w:rFonts w:hint="eastAsia" w:ascii="宋体" w:hAnsi="宋体" w:cs="宋体"/>
          <w:b/>
          <w:bCs/>
          <w:color w:val="auto"/>
          <w:sz w:val="44"/>
          <w:szCs w:val="44"/>
          <w:highlight w:val="none"/>
        </w:rPr>
      </w:pPr>
    </w:p>
    <w:p w14:paraId="75B73E05">
      <w:pPr>
        <w:rPr>
          <w:rFonts w:hint="eastAsia" w:ascii="宋体" w:hAnsi="宋体" w:cs="宋体"/>
          <w:b/>
          <w:bCs/>
          <w:color w:val="auto"/>
          <w:sz w:val="44"/>
          <w:szCs w:val="44"/>
          <w:highlight w:val="none"/>
        </w:rPr>
      </w:pPr>
    </w:p>
    <w:p w14:paraId="2F27D9A9">
      <w:pPr>
        <w:rPr>
          <w:rFonts w:hint="eastAsia" w:ascii="宋体" w:hAnsi="宋体" w:cs="宋体"/>
          <w:b/>
          <w:bCs/>
          <w:color w:val="auto"/>
          <w:sz w:val="44"/>
          <w:szCs w:val="44"/>
          <w:highlight w:val="none"/>
        </w:rPr>
      </w:pPr>
    </w:p>
    <w:p w14:paraId="3C5C132D">
      <w:pPr>
        <w:rPr>
          <w:rFonts w:hint="eastAsia" w:ascii="宋体" w:hAnsi="宋体" w:cs="宋体"/>
          <w:b/>
          <w:bCs/>
          <w:color w:val="auto"/>
          <w:sz w:val="44"/>
          <w:szCs w:val="44"/>
          <w:highlight w:val="none"/>
        </w:rPr>
      </w:pPr>
    </w:p>
    <w:p w14:paraId="27B1E4C3">
      <w:pPr>
        <w:jc w:val="center"/>
        <w:rPr>
          <w:rFonts w:hint="eastAsia" w:ascii="宋体" w:hAnsi="宋体" w:cs="宋体"/>
          <w:b/>
          <w:bCs/>
          <w:color w:val="auto"/>
          <w:sz w:val="52"/>
          <w:szCs w:val="52"/>
          <w:highlight w:val="none"/>
        </w:rPr>
      </w:pPr>
      <w:r>
        <w:rPr>
          <w:rFonts w:hint="eastAsia" w:ascii="宋体" w:hAnsi="宋体" w:cs="宋体"/>
          <w:b/>
          <w:bCs/>
          <w:color w:val="auto"/>
          <w:sz w:val="52"/>
          <w:szCs w:val="52"/>
          <w:highlight w:val="none"/>
        </w:rPr>
        <w:t>投 标 文 件</w:t>
      </w:r>
    </w:p>
    <w:p w14:paraId="341E23FD">
      <w:pPr>
        <w:jc w:val="center"/>
        <w:outlineLvl w:val="2"/>
        <w:rPr>
          <w:rFonts w:hint="eastAsia" w:ascii="宋体" w:hAnsi="宋体" w:cs="宋体"/>
          <w:b/>
          <w:bCs/>
          <w:color w:val="auto"/>
          <w:sz w:val="32"/>
          <w:szCs w:val="32"/>
          <w:highlight w:val="none"/>
        </w:rPr>
      </w:pPr>
      <w:bookmarkStart w:id="241" w:name="_Toc5116"/>
      <w:r>
        <w:rPr>
          <w:rFonts w:hint="eastAsia" w:ascii="宋体" w:hAnsi="宋体" w:cs="宋体"/>
          <w:b/>
          <w:bCs/>
          <w:color w:val="auto"/>
          <w:sz w:val="32"/>
          <w:szCs w:val="32"/>
          <w:highlight w:val="none"/>
        </w:rPr>
        <w:t>商务技术部分</w:t>
      </w:r>
      <w:bookmarkEnd w:id="241"/>
    </w:p>
    <w:p w14:paraId="0BEE3E37">
      <w:pPr>
        <w:rPr>
          <w:rFonts w:hint="eastAsia" w:ascii="宋体" w:hAnsi="宋体" w:cs="宋体"/>
          <w:b/>
          <w:bCs/>
          <w:color w:val="auto"/>
          <w:sz w:val="44"/>
          <w:szCs w:val="44"/>
          <w:highlight w:val="none"/>
        </w:rPr>
      </w:pPr>
    </w:p>
    <w:p w14:paraId="1266A8EF">
      <w:pPr>
        <w:rPr>
          <w:rFonts w:hint="eastAsia" w:ascii="宋体" w:hAnsi="宋体" w:cs="宋体"/>
          <w:b/>
          <w:bCs/>
          <w:color w:val="auto"/>
          <w:sz w:val="44"/>
          <w:szCs w:val="44"/>
          <w:highlight w:val="none"/>
        </w:rPr>
      </w:pPr>
    </w:p>
    <w:p w14:paraId="16E416ED">
      <w:pPr>
        <w:rPr>
          <w:rFonts w:hint="eastAsia" w:ascii="宋体" w:hAnsi="宋体" w:cs="宋体"/>
          <w:b/>
          <w:bCs/>
          <w:color w:val="auto"/>
          <w:sz w:val="44"/>
          <w:szCs w:val="44"/>
          <w:highlight w:val="none"/>
        </w:rPr>
      </w:pPr>
    </w:p>
    <w:p w14:paraId="34CDC3BB">
      <w:pPr>
        <w:rPr>
          <w:rFonts w:hint="eastAsia" w:ascii="宋体" w:hAnsi="宋体" w:cs="宋体"/>
          <w:b/>
          <w:bCs/>
          <w:color w:val="auto"/>
          <w:sz w:val="44"/>
          <w:szCs w:val="44"/>
          <w:highlight w:val="none"/>
        </w:rPr>
      </w:pPr>
    </w:p>
    <w:p w14:paraId="71D00B02">
      <w:pPr>
        <w:rPr>
          <w:rFonts w:hint="eastAsia" w:ascii="宋体" w:hAnsi="宋体" w:cs="宋体"/>
          <w:b/>
          <w:bCs/>
          <w:color w:val="auto"/>
          <w:sz w:val="44"/>
          <w:szCs w:val="44"/>
          <w:highlight w:val="none"/>
        </w:rPr>
      </w:pPr>
    </w:p>
    <w:p w14:paraId="04ACB8E5">
      <w:pPr>
        <w:ind w:firstLine="1205" w:firstLineChars="5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投标人：</w:t>
      </w:r>
      <w:r>
        <w:rPr>
          <w:rFonts w:hint="eastAsia" w:ascii="宋体" w:hAnsi="宋体" w:cs="宋体"/>
          <w:b/>
          <w:bCs/>
          <w:color w:val="auto"/>
          <w:sz w:val="24"/>
          <w:szCs w:val="24"/>
          <w:highlight w:val="none"/>
          <w:u w:val="singl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(电子签章)</w:t>
      </w:r>
    </w:p>
    <w:p w14:paraId="03202CB3">
      <w:pPr>
        <w:rPr>
          <w:rFonts w:hint="eastAsia" w:ascii="宋体" w:hAnsi="宋体" w:cs="宋体"/>
          <w:b/>
          <w:bCs/>
          <w:color w:val="auto"/>
          <w:sz w:val="24"/>
          <w:szCs w:val="24"/>
          <w:highlight w:val="none"/>
        </w:rPr>
      </w:pPr>
    </w:p>
    <w:p w14:paraId="2DE244B5">
      <w:pPr>
        <w:ind w:firstLine="1205" w:firstLineChars="5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法定代表人(单位负责人)或其委托代理人：</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(电子签章)</w:t>
      </w:r>
    </w:p>
    <w:p w14:paraId="3FAD62C2">
      <w:pPr>
        <w:rPr>
          <w:rFonts w:hint="eastAsia" w:ascii="宋体" w:hAnsi="宋体" w:cs="宋体"/>
          <w:b/>
          <w:bCs/>
          <w:color w:val="auto"/>
          <w:sz w:val="24"/>
          <w:szCs w:val="24"/>
          <w:highlight w:val="none"/>
        </w:rPr>
      </w:pPr>
    </w:p>
    <w:p w14:paraId="71124E17">
      <w:pPr>
        <w:ind w:firstLine="1205" w:firstLineChars="5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日期：</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 xml:space="preserve">年 </w:t>
      </w:r>
      <w:r>
        <w:rPr>
          <w:rFonts w:hint="eastAsia" w:ascii="宋体" w:hAnsi="宋体" w:cs="宋体"/>
          <w:b/>
          <w:bCs/>
          <w:color w:val="auto"/>
          <w:sz w:val="24"/>
          <w:szCs w:val="24"/>
          <w:highlight w:val="none"/>
          <w:u w:val="singl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 xml:space="preserve">月 </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日</w:t>
      </w:r>
    </w:p>
    <w:p w14:paraId="6B86382A">
      <w:pPr>
        <w:rPr>
          <w:rFonts w:hint="eastAsia" w:ascii="宋体" w:hAnsi="宋体" w:cs="宋体"/>
          <w:b/>
          <w:bCs/>
          <w:color w:val="auto"/>
          <w:sz w:val="44"/>
          <w:szCs w:val="44"/>
          <w:highlight w:val="none"/>
        </w:rPr>
      </w:pPr>
    </w:p>
    <w:p w14:paraId="1B2D98FA">
      <w:pPr>
        <w:rPr>
          <w:rFonts w:hint="eastAsia" w:ascii="宋体" w:hAnsi="宋体" w:cs="宋体"/>
          <w:color w:val="auto"/>
          <w:highlight w:val="none"/>
        </w:rPr>
      </w:pPr>
      <w:bookmarkStart w:id="242" w:name="_Toc10984"/>
      <w:bookmarkEnd w:id="242"/>
      <w:r>
        <w:rPr>
          <w:rFonts w:hint="eastAsia" w:ascii="宋体" w:hAnsi="宋体" w:cs="宋体"/>
          <w:color w:val="auto"/>
          <w:highlight w:val="none"/>
        </w:rPr>
        <w:br w:type="page"/>
      </w:r>
    </w:p>
    <w:p w14:paraId="571609B5">
      <w:pPr>
        <w:pStyle w:val="5"/>
        <w:widowControl/>
        <w:autoSpaceDE w:val="0"/>
        <w:spacing w:before="0" w:after="0" w:line="360" w:lineRule="auto"/>
        <w:ind w:firstLine="562" w:firstLineChars="200"/>
        <w:jc w:val="center"/>
        <w:rPr>
          <w:rFonts w:hint="eastAsia" w:ascii="宋体" w:hAnsi="宋体" w:cs="宋体"/>
          <w:color w:val="auto"/>
          <w:highlight w:val="none"/>
        </w:rPr>
      </w:pPr>
      <w:bookmarkStart w:id="243" w:name="_Toc15981"/>
      <w:bookmarkEnd w:id="243"/>
      <w:bookmarkStart w:id="244" w:name="_Toc2786"/>
      <w:bookmarkEnd w:id="244"/>
      <w:bookmarkStart w:id="245" w:name="_Toc28459"/>
      <w:bookmarkEnd w:id="245"/>
      <w:bookmarkStart w:id="246" w:name="_Toc5263"/>
      <w:bookmarkStart w:id="247" w:name="_Toc10504"/>
      <w:r>
        <w:rPr>
          <w:rFonts w:hint="eastAsia" w:ascii="宋体" w:hAnsi="宋体" w:cs="宋体"/>
          <w:color w:val="auto"/>
          <w:sz w:val="28"/>
          <w:szCs w:val="28"/>
          <w:highlight w:val="none"/>
        </w:rPr>
        <w:t>一、开标一览表</w:t>
      </w:r>
      <w:bookmarkEnd w:id="246"/>
      <w:bookmarkEnd w:id="247"/>
    </w:p>
    <w:tbl>
      <w:tblPr>
        <w:tblStyle w:val="33"/>
        <w:tblW w:w="4993" w:type="pct"/>
        <w:tblInd w:w="0" w:type="dxa"/>
        <w:tblLayout w:type="autofit"/>
        <w:tblCellMar>
          <w:top w:w="0" w:type="dxa"/>
          <w:left w:w="108" w:type="dxa"/>
          <w:bottom w:w="0" w:type="dxa"/>
          <w:right w:w="108" w:type="dxa"/>
        </w:tblCellMar>
      </w:tblPr>
      <w:tblGrid>
        <w:gridCol w:w="1916"/>
        <w:gridCol w:w="2239"/>
        <w:gridCol w:w="1750"/>
        <w:gridCol w:w="1279"/>
        <w:gridCol w:w="831"/>
        <w:gridCol w:w="1598"/>
      </w:tblGrid>
      <w:tr w14:paraId="6BFB3738">
        <w:tblPrEx>
          <w:tblCellMar>
            <w:top w:w="0" w:type="dxa"/>
            <w:left w:w="108" w:type="dxa"/>
            <w:bottom w:w="0" w:type="dxa"/>
            <w:right w:w="108" w:type="dxa"/>
          </w:tblCellMar>
        </w:tblPrEx>
        <w:trPr>
          <w:cantSplit/>
          <w:trHeight w:val="431" w:hRule="atLeast"/>
        </w:trPr>
        <w:tc>
          <w:tcPr>
            <w:tcW w:w="996" w:type="pct"/>
            <w:vMerge w:val="restart"/>
            <w:tcBorders>
              <w:top w:val="single" w:color="auto" w:sz="4" w:space="0"/>
              <w:left w:val="single" w:color="auto" w:sz="4" w:space="0"/>
              <w:bottom w:val="single" w:color="auto" w:sz="4" w:space="0"/>
              <w:right w:val="single" w:color="auto" w:sz="4" w:space="0"/>
            </w:tcBorders>
            <w:vAlign w:val="center"/>
          </w:tcPr>
          <w:p w14:paraId="535E4D2C">
            <w:pPr>
              <w:adjustRightInd w:val="0"/>
              <w:snapToGrid w:val="0"/>
              <w:spacing w:line="440" w:lineRule="exact"/>
              <w:jc w:val="center"/>
              <w:rPr>
                <w:rFonts w:hint="default" w:ascii="宋体" w:hAnsi="宋体" w:eastAsia="宋体" w:cs="宋体"/>
                <w:b/>
                <w:bCs/>
                <w:color w:val="auto"/>
                <w:kern w:val="2"/>
                <w:sz w:val="24"/>
                <w:szCs w:val="24"/>
                <w:highlight w:val="none"/>
                <w:lang w:val="en-US" w:eastAsia="zh-CN"/>
              </w:rPr>
            </w:pPr>
            <w:r>
              <w:rPr>
                <w:rFonts w:hint="eastAsia" w:ascii="宋体" w:hAnsi="宋体" w:cs="宋体"/>
                <w:b/>
                <w:bCs/>
                <w:color w:val="auto"/>
                <w:kern w:val="2"/>
                <w:sz w:val="24"/>
                <w:szCs w:val="24"/>
                <w:highlight w:val="none"/>
                <w:lang w:val="en-US" w:eastAsia="zh-CN"/>
              </w:rPr>
              <w:t>投标人名称</w:t>
            </w:r>
          </w:p>
        </w:tc>
        <w:tc>
          <w:tcPr>
            <w:tcW w:w="1164" w:type="pct"/>
            <w:vMerge w:val="restart"/>
            <w:tcBorders>
              <w:top w:val="single" w:color="auto" w:sz="4" w:space="0"/>
              <w:left w:val="single" w:color="auto" w:sz="4" w:space="0"/>
              <w:right w:val="single" w:color="auto" w:sz="4" w:space="0"/>
            </w:tcBorders>
            <w:vAlign w:val="center"/>
          </w:tcPr>
          <w:p w14:paraId="7EE26B32">
            <w:pPr>
              <w:adjustRightInd w:val="0"/>
              <w:snapToGrid w:val="0"/>
              <w:spacing w:line="440" w:lineRule="exact"/>
              <w:jc w:val="center"/>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投标报价</w:t>
            </w:r>
          </w:p>
          <w:p w14:paraId="359C8AB6">
            <w:pPr>
              <w:adjustRightInd w:val="0"/>
              <w:snapToGrid w:val="0"/>
              <w:spacing w:line="440" w:lineRule="exact"/>
              <w:jc w:val="center"/>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w:t>
            </w:r>
            <w:r>
              <w:rPr>
                <w:rFonts w:hint="eastAsia" w:ascii="宋体" w:hAnsi="宋体" w:cs="宋体"/>
                <w:b/>
                <w:bCs/>
                <w:color w:val="auto"/>
                <w:kern w:val="2"/>
                <w:sz w:val="24"/>
                <w:szCs w:val="24"/>
                <w:highlight w:val="none"/>
                <w:lang w:val="en-US" w:eastAsia="zh-CN"/>
              </w:rPr>
              <w:t>下浮率</w:t>
            </w:r>
            <w:r>
              <w:rPr>
                <w:rFonts w:hint="eastAsia" w:ascii="宋体" w:hAnsi="宋体" w:cs="宋体"/>
                <w:b/>
                <w:bCs/>
                <w:color w:val="auto"/>
                <w:kern w:val="2"/>
                <w:sz w:val="24"/>
                <w:szCs w:val="24"/>
                <w:highlight w:val="none"/>
              </w:rPr>
              <w:t>%)</w:t>
            </w:r>
          </w:p>
        </w:tc>
        <w:tc>
          <w:tcPr>
            <w:tcW w:w="910" w:type="pct"/>
            <w:vMerge w:val="restart"/>
            <w:tcBorders>
              <w:top w:val="single" w:color="auto" w:sz="4" w:space="0"/>
              <w:left w:val="nil"/>
              <w:bottom w:val="single" w:color="auto" w:sz="4" w:space="0"/>
              <w:right w:val="single" w:color="auto" w:sz="4" w:space="0"/>
            </w:tcBorders>
            <w:vAlign w:val="center"/>
          </w:tcPr>
          <w:p w14:paraId="2A0EDCE6">
            <w:pPr>
              <w:adjustRightInd w:val="0"/>
              <w:snapToGrid w:val="0"/>
              <w:spacing w:line="440" w:lineRule="exact"/>
              <w:jc w:val="center"/>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合同履行期限</w:t>
            </w:r>
          </w:p>
        </w:tc>
        <w:tc>
          <w:tcPr>
            <w:tcW w:w="665" w:type="pct"/>
            <w:vMerge w:val="restart"/>
            <w:tcBorders>
              <w:top w:val="single" w:color="auto" w:sz="4" w:space="0"/>
              <w:left w:val="nil"/>
              <w:bottom w:val="single" w:color="auto" w:sz="4" w:space="0"/>
              <w:right w:val="single" w:color="auto" w:sz="4" w:space="0"/>
            </w:tcBorders>
            <w:vAlign w:val="center"/>
          </w:tcPr>
          <w:p w14:paraId="18BE1E0A">
            <w:pPr>
              <w:adjustRightInd w:val="0"/>
              <w:snapToGrid w:val="0"/>
              <w:spacing w:line="440" w:lineRule="exact"/>
              <w:jc w:val="center"/>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服务地点</w:t>
            </w:r>
          </w:p>
        </w:tc>
        <w:tc>
          <w:tcPr>
            <w:tcW w:w="1263" w:type="pct"/>
            <w:gridSpan w:val="2"/>
            <w:tcBorders>
              <w:top w:val="single" w:color="auto" w:sz="4" w:space="0"/>
              <w:left w:val="nil"/>
              <w:bottom w:val="single" w:color="auto" w:sz="4" w:space="0"/>
              <w:right w:val="single" w:color="auto" w:sz="4" w:space="0"/>
            </w:tcBorders>
            <w:vAlign w:val="center"/>
          </w:tcPr>
          <w:p w14:paraId="7D884C3F">
            <w:pPr>
              <w:adjustRightInd w:val="0"/>
              <w:snapToGrid w:val="0"/>
              <w:spacing w:line="440" w:lineRule="exact"/>
              <w:jc w:val="center"/>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投标保证金</w:t>
            </w:r>
          </w:p>
        </w:tc>
      </w:tr>
      <w:tr w14:paraId="666D97AA">
        <w:tblPrEx>
          <w:tblCellMar>
            <w:top w:w="0" w:type="dxa"/>
            <w:left w:w="108" w:type="dxa"/>
            <w:bottom w:w="0" w:type="dxa"/>
            <w:right w:w="108" w:type="dxa"/>
          </w:tblCellMar>
        </w:tblPrEx>
        <w:trPr>
          <w:cantSplit/>
          <w:trHeight w:val="296" w:hRule="atLeast"/>
        </w:trPr>
        <w:tc>
          <w:tcPr>
            <w:tcW w:w="996" w:type="pct"/>
            <w:vMerge w:val="continue"/>
            <w:tcBorders>
              <w:top w:val="single" w:color="auto" w:sz="4" w:space="0"/>
              <w:left w:val="single" w:color="auto" w:sz="4" w:space="0"/>
              <w:bottom w:val="single" w:color="auto" w:sz="4" w:space="0"/>
              <w:right w:val="single" w:color="auto" w:sz="4" w:space="0"/>
            </w:tcBorders>
            <w:vAlign w:val="center"/>
          </w:tcPr>
          <w:p w14:paraId="40D986B8">
            <w:pPr>
              <w:rPr>
                <w:rFonts w:hint="eastAsia" w:ascii="宋体" w:hAnsi="宋体" w:cs="宋体"/>
                <w:b/>
                <w:bCs/>
                <w:color w:val="auto"/>
                <w:kern w:val="2"/>
                <w:sz w:val="24"/>
                <w:szCs w:val="24"/>
                <w:highlight w:val="none"/>
              </w:rPr>
            </w:pPr>
          </w:p>
        </w:tc>
        <w:tc>
          <w:tcPr>
            <w:tcW w:w="1164" w:type="pct"/>
            <w:vMerge w:val="continue"/>
            <w:tcBorders>
              <w:left w:val="single" w:color="auto" w:sz="4" w:space="0"/>
              <w:bottom w:val="single" w:color="auto" w:sz="4" w:space="0"/>
              <w:right w:val="single" w:color="auto" w:sz="4" w:space="0"/>
            </w:tcBorders>
            <w:vAlign w:val="center"/>
          </w:tcPr>
          <w:p w14:paraId="797F665C">
            <w:pPr>
              <w:rPr>
                <w:rFonts w:hint="eastAsia" w:ascii="宋体" w:hAnsi="宋体" w:cs="宋体"/>
                <w:b/>
                <w:bCs/>
                <w:color w:val="auto"/>
                <w:kern w:val="2"/>
                <w:sz w:val="24"/>
                <w:szCs w:val="24"/>
                <w:highlight w:val="none"/>
              </w:rPr>
            </w:pPr>
          </w:p>
        </w:tc>
        <w:tc>
          <w:tcPr>
            <w:tcW w:w="910" w:type="pct"/>
            <w:vMerge w:val="continue"/>
            <w:tcBorders>
              <w:top w:val="single" w:color="auto" w:sz="4" w:space="0"/>
              <w:left w:val="nil"/>
              <w:bottom w:val="single" w:color="auto" w:sz="4" w:space="0"/>
              <w:right w:val="single" w:color="auto" w:sz="4" w:space="0"/>
            </w:tcBorders>
            <w:vAlign w:val="center"/>
          </w:tcPr>
          <w:p w14:paraId="65CD5774">
            <w:pPr>
              <w:rPr>
                <w:rFonts w:hint="eastAsia" w:ascii="宋体" w:hAnsi="宋体" w:cs="宋体"/>
                <w:b/>
                <w:bCs/>
                <w:color w:val="auto"/>
                <w:kern w:val="2"/>
                <w:sz w:val="24"/>
                <w:szCs w:val="24"/>
                <w:highlight w:val="none"/>
              </w:rPr>
            </w:pPr>
          </w:p>
        </w:tc>
        <w:tc>
          <w:tcPr>
            <w:tcW w:w="665" w:type="pct"/>
            <w:vMerge w:val="continue"/>
            <w:tcBorders>
              <w:top w:val="single" w:color="auto" w:sz="4" w:space="0"/>
              <w:left w:val="nil"/>
              <w:bottom w:val="single" w:color="auto" w:sz="4" w:space="0"/>
              <w:right w:val="single" w:color="auto" w:sz="4" w:space="0"/>
            </w:tcBorders>
            <w:vAlign w:val="center"/>
          </w:tcPr>
          <w:p w14:paraId="5F028C87">
            <w:pPr>
              <w:rPr>
                <w:rFonts w:hint="eastAsia" w:ascii="宋体" w:hAnsi="宋体" w:cs="宋体"/>
                <w:b/>
                <w:bCs/>
                <w:color w:val="auto"/>
                <w:kern w:val="2"/>
                <w:sz w:val="24"/>
                <w:szCs w:val="24"/>
                <w:highlight w:val="none"/>
              </w:rPr>
            </w:pPr>
          </w:p>
        </w:tc>
        <w:tc>
          <w:tcPr>
            <w:tcW w:w="432" w:type="pct"/>
            <w:tcBorders>
              <w:top w:val="single" w:color="auto" w:sz="4" w:space="0"/>
              <w:left w:val="nil"/>
              <w:bottom w:val="single" w:color="auto" w:sz="4" w:space="0"/>
              <w:right w:val="single" w:color="auto" w:sz="4" w:space="0"/>
            </w:tcBorders>
            <w:vAlign w:val="center"/>
          </w:tcPr>
          <w:p w14:paraId="3D3B6E75">
            <w:pPr>
              <w:adjustRightInd w:val="0"/>
              <w:snapToGrid w:val="0"/>
              <w:spacing w:line="440" w:lineRule="exact"/>
              <w:jc w:val="center"/>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形式</w:t>
            </w:r>
          </w:p>
        </w:tc>
        <w:tc>
          <w:tcPr>
            <w:tcW w:w="831" w:type="pct"/>
            <w:tcBorders>
              <w:top w:val="single" w:color="auto" w:sz="4" w:space="0"/>
              <w:left w:val="nil"/>
              <w:bottom w:val="single" w:color="auto" w:sz="4" w:space="0"/>
              <w:right w:val="single" w:color="auto" w:sz="4" w:space="0"/>
            </w:tcBorders>
            <w:vAlign w:val="center"/>
          </w:tcPr>
          <w:p w14:paraId="23AF6D42">
            <w:pPr>
              <w:adjustRightInd w:val="0"/>
              <w:snapToGrid w:val="0"/>
              <w:spacing w:line="440" w:lineRule="exact"/>
              <w:jc w:val="center"/>
              <w:rPr>
                <w:rFonts w:hint="eastAsia"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金额(元)</w:t>
            </w:r>
          </w:p>
        </w:tc>
      </w:tr>
      <w:tr w14:paraId="0829DAA5">
        <w:tblPrEx>
          <w:tblCellMar>
            <w:top w:w="0" w:type="dxa"/>
            <w:left w:w="108" w:type="dxa"/>
            <w:bottom w:w="0" w:type="dxa"/>
            <w:right w:w="108" w:type="dxa"/>
          </w:tblCellMar>
        </w:tblPrEx>
        <w:trPr>
          <w:cantSplit/>
          <w:trHeight w:val="1212" w:hRule="atLeast"/>
        </w:trPr>
        <w:tc>
          <w:tcPr>
            <w:tcW w:w="996" w:type="pct"/>
            <w:tcBorders>
              <w:top w:val="single" w:color="auto" w:sz="4" w:space="0"/>
              <w:left w:val="single" w:color="auto" w:sz="4" w:space="0"/>
              <w:bottom w:val="single" w:color="auto" w:sz="4" w:space="0"/>
              <w:right w:val="single" w:color="auto" w:sz="4" w:space="0"/>
            </w:tcBorders>
            <w:vAlign w:val="center"/>
          </w:tcPr>
          <w:p w14:paraId="4F953889">
            <w:pPr>
              <w:spacing w:line="460" w:lineRule="exact"/>
              <w:rPr>
                <w:rFonts w:ascii="宋体" w:hAnsi="宋体"/>
                <w:color w:val="auto"/>
                <w:highlight w:val="none"/>
              </w:rPr>
            </w:pPr>
          </w:p>
        </w:tc>
        <w:tc>
          <w:tcPr>
            <w:tcW w:w="1164" w:type="pct"/>
            <w:tcBorders>
              <w:top w:val="single" w:color="auto" w:sz="4" w:space="0"/>
              <w:left w:val="single" w:color="auto" w:sz="4" w:space="0"/>
              <w:bottom w:val="single" w:color="auto" w:sz="4" w:space="0"/>
              <w:right w:val="single" w:color="auto" w:sz="4" w:space="0"/>
            </w:tcBorders>
            <w:vAlign w:val="center"/>
          </w:tcPr>
          <w:p w14:paraId="32FB5BA1">
            <w:pPr>
              <w:spacing w:line="460" w:lineRule="exact"/>
              <w:rPr>
                <w:rFonts w:hint="eastAsia" w:ascii="宋体" w:hAnsi="宋体" w:cs="宋体"/>
                <w:b/>
                <w:bCs/>
                <w:color w:val="auto"/>
                <w:kern w:val="2"/>
                <w:sz w:val="24"/>
                <w:szCs w:val="24"/>
                <w:highlight w:val="none"/>
              </w:rPr>
            </w:pPr>
          </w:p>
        </w:tc>
        <w:tc>
          <w:tcPr>
            <w:tcW w:w="910" w:type="pct"/>
            <w:tcBorders>
              <w:top w:val="single" w:color="auto" w:sz="4" w:space="0"/>
              <w:left w:val="nil"/>
              <w:bottom w:val="single" w:color="auto" w:sz="4" w:space="0"/>
              <w:right w:val="single" w:color="auto" w:sz="4" w:space="0"/>
            </w:tcBorders>
            <w:vAlign w:val="center"/>
          </w:tcPr>
          <w:p w14:paraId="46DD6486">
            <w:pPr>
              <w:spacing w:line="460" w:lineRule="exact"/>
              <w:jc w:val="center"/>
              <w:rPr>
                <w:rFonts w:hint="eastAsia" w:ascii="宋体" w:hAnsi="宋体" w:cs="宋体"/>
                <w:b/>
                <w:bCs/>
                <w:color w:val="auto"/>
                <w:kern w:val="2"/>
                <w:sz w:val="24"/>
                <w:szCs w:val="24"/>
                <w:highlight w:val="none"/>
              </w:rPr>
            </w:pPr>
          </w:p>
        </w:tc>
        <w:tc>
          <w:tcPr>
            <w:tcW w:w="665" w:type="pct"/>
            <w:tcBorders>
              <w:top w:val="single" w:color="auto" w:sz="4" w:space="0"/>
              <w:left w:val="nil"/>
              <w:bottom w:val="single" w:color="auto" w:sz="4" w:space="0"/>
              <w:right w:val="single" w:color="auto" w:sz="4" w:space="0"/>
            </w:tcBorders>
            <w:vAlign w:val="center"/>
          </w:tcPr>
          <w:p w14:paraId="313073DA">
            <w:pPr>
              <w:spacing w:line="460" w:lineRule="exact"/>
              <w:jc w:val="center"/>
              <w:rPr>
                <w:rFonts w:hint="eastAsia" w:ascii="宋体" w:hAnsi="宋体" w:cs="宋体"/>
                <w:b/>
                <w:bCs/>
                <w:color w:val="auto"/>
                <w:kern w:val="2"/>
                <w:sz w:val="24"/>
                <w:szCs w:val="24"/>
                <w:highlight w:val="none"/>
              </w:rPr>
            </w:pPr>
          </w:p>
        </w:tc>
        <w:tc>
          <w:tcPr>
            <w:tcW w:w="432" w:type="pct"/>
            <w:tcBorders>
              <w:top w:val="single" w:color="auto" w:sz="4" w:space="0"/>
              <w:left w:val="nil"/>
              <w:bottom w:val="single" w:color="auto" w:sz="4" w:space="0"/>
              <w:right w:val="single" w:color="auto" w:sz="4" w:space="0"/>
            </w:tcBorders>
            <w:vAlign w:val="center"/>
          </w:tcPr>
          <w:p w14:paraId="5D19DAFC">
            <w:pPr>
              <w:spacing w:line="460" w:lineRule="exact"/>
              <w:jc w:val="center"/>
              <w:rPr>
                <w:rFonts w:hint="eastAsia" w:ascii="宋体" w:hAnsi="宋体" w:cs="宋体"/>
                <w:b/>
                <w:bCs/>
                <w:color w:val="auto"/>
                <w:kern w:val="2"/>
                <w:sz w:val="24"/>
                <w:szCs w:val="24"/>
                <w:highlight w:val="none"/>
              </w:rPr>
            </w:pPr>
          </w:p>
        </w:tc>
        <w:tc>
          <w:tcPr>
            <w:tcW w:w="831" w:type="pct"/>
            <w:tcBorders>
              <w:top w:val="single" w:color="auto" w:sz="4" w:space="0"/>
              <w:left w:val="nil"/>
              <w:bottom w:val="single" w:color="auto" w:sz="4" w:space="0"/>
              <w:right w:val="single" w:color="auto" w:sz="4" w:space="0"/>
            </w:tcBorders>
            <w:vAlign w:val="center"/>
          </w:tcPr>
          <w:p w14:paraId="45126885">
            <w:pPr>
              <w:spacing w:line="460" w:lineRule="exact"/>
              <w:jc w:val="center"/>
              <w:rPr>
                <w:rFonts w:hint="eastAsia" w:ascii="宋体" w:hAnsi="宋体" w:cs="宋体"/>
                <w:b/>
                <w:bCs/>
                <w:color w:val="auto"/>
                <w:kern w:val="2"/>
                <w:sz w:val="24"/>
                <w:szCs w:val="24"/>
                <w:highlight w:val="none"/>
              </w:rPr>
            </w:pPr>
          </w:p>
        </w:tc>
      </w:tr>
    </w:tbl>
    <w:p w14:paraId="342A832E">
      <w:pPr>
        <w:spacing w:line="420" w:lineRule="exact"/>
        <w:ind w:right="-309" w:rightChars="-147"/>
        <w:rPr>
          <w:rFonts w:hint="eastAsia" w:ascii="宋体" w:hAnsi="宋体" w:cs="宋体"/>
          <w:b/>
          <w:color w:val="auto"/>
          <w:highlight w:val="none"/>
        </w:rPr>
      </w:pPr>
      <w:r>
        <w:rPr>
          <w:rFonts w:hint="eastAsia" w:ascii="宋体" w:hAnsi="宋体" w:cs="宋体"/>
          <w:b/>
          <w:color w:val="auto"/>
          <w:highlight w:val="none"/>
        </w:rPr>
        <w:t>注：</w:t>
      </w:r>
    </w:p>
    <w:p w14:paraId="180C1178">
      <w:pPr>
        <w:spacing w:line="420" w:lineRule="exact"/>
        <w:ind w:right="-309" w:rightChars="-147"/>
        <w:rPr>
          <w:rFonts w:hint="eastAsia" w:ascii="宋体" w:hAnsi="宋体" w:eastAsia="宋体" w:cs="Times New Roman"/>
          <w:b/>
          <w:color w:val="auto"/>
          <w:highlight w:val="none"/>
        </w:rPr>
      </w:pPr>
      <w:r>
        <w:rPr>
          <w:rFonts w:hint="eastAsia" w:ascii="宋体" w:hAnsi="宋体" w:eastAsia="宋体" w:cs="Times New Roman"/>
          <w:b/>
          <w:color w:val="auto"/>
          <w:highlight w:val="none"/>
        </w:rPr>
        <w:t>①投标文件中开标一览表内容与投标文件中相应内容不一致的，以开标一览表为准；</w:t>
      </w:r>
    </w:p>
    <w:p w14:paraId="16E87164">
      <w:pPr>
        <w:spacing w:line="420" w:lineRule="exact"/>
        <w:ind w:right="-309" w:rightChars="-147"/>
        <w:rPr>
          <w:rFonts w:hint="eastAsia" w:ascii="宋体" w:hAnsi="宋体" w:eastAsia="宋体" w:cs="Times New Roman"/>
          <w:b/>
          <w:color w:val="auto"/>
          <w:highlight w:val="none"/>
        </w:rPr>
      </w:pPr>
      <w:r>
        <w:rPr>
          <w:rFonts w:hint="eastAsia" w:ascii="宋体" w:hAnsi="宋体" w:eastAsia="宋体" w:cs="Times New Roman"/>
          <w:b/>
          <w:color w:val="auto"/>
          <w:highlight w:val="none"/>
        </w:rPr>
        <w:t>②在医院采购预算单价的基础上统一下浮</w:t>
      </w:r>
      <w:r>
        <w:rPr>
          <w:rFonts w:hint="eastAsia" w:ascii="宋体" w:hAnsi="宋体" w:cs="Times New Roman"/>
          <w:b/>
          <w:color w:val="auto"/>
          <w:highlight w:val="none"/>
          <w:lang w:eastAsia="zh-CN"/>
        </w:rPr>
        <w:t>，投标单价=预算单价*(1-下浮率%)</w:t>
      </w:r>
      <w:r>
        <w:rPr>
          <w:rFonts w:hint="eastAsia" w:ascii="宋体" w:hAnsi="宋体" w:eastAsia="宋体" w:cs="Times New Roman"/>
          <w:b/>
          <w:color w:val="auto"/>
          <w:highlight w:val="none"/>
        </w:rPr>
        <w:t>；</w:t>
      </w:r>
    </w:p>
    <w:p w14:paraId="1E10904B">
      <w:pPr>
        <w:spacing w:line="420" w:lineRule="exact"/>
        <w:ind w:right="-309" w:rightChars="-147"/>
        <w:rPr>
          <w:rFonts w:hint="eastAsia" w:ascii="宋体" w:hAnsi="宋体" w:eastAsia="宋体" w:cs="Times New Roman"/>
          <w:b/>
          <w:color w:val="auto"/>
          <w:highlight w:val="none"/>
          <w:lang w:eastAsia="zh-CN"/>
        </w:rPr>
      </w:pPr>
      <w:r>
        <w:rPr>
          <w:rFonts w:hint="eastAsia" w:ascii="宋体" w:hAnsi="宋体" w:eastAsia="宋体" w:cs="Times New Roman"/>
          <w:b/>
          <w:color w:val="auto"/>
          <w:highlight w:val="none"/>
        </w:rPr>
        <w:t>③此表中的投标报价即为最终报价，不允许另有折扣说明</w:t>
      </w:r>
      <w:r>
        <w:rPr>
          <w:rFonts w:hint="eastAsia" w:ascii="宋体" w:hAnsi="宋体" w:cs="Times New Roman"/>
          <w:b/>
          <w:color w:val="auto"/>
          <w:highlight w:val="none"/>
          <w:lang w:eastAsia="zh-CN"/>
        </w:rPr>
        <w:t>。</w:t>
      </w:r>
    </w:p>
    <w:p w14:paraId="439AC615">
      <w:pPr>
        <w:spacing w:line="600" w:lineRule="atLeast"/>
        <w:rPr>
          <w:rFonts w:hint="eastAsia" w:ascii="宋体" w:hAnsi="宋体" w:cs="宋体"/>
          <w:color w:val="auto"/>
          <w:sz w:val="28"/>
          <w:szCs w:val="28"/>
          <w:highlight w:val="none"/>
        </w:rPr>
      </w:pPr>
    </w:p>
    <w:p w14:paraId="3CC4E282">
      <w:pPr>
        <w:spacing w:line="600" w:lineRule="atLeast"/>
        <w:rPr>
          <w:rFonts w:hint="eastAsia" w:ascii="宋体" w:hAnsi="宋体" w:cs="宋体"/>
          <w:color w:val="auto"/>
          <w:sz w:val="28"/>
          <w:szCs w:val="28"/>
          <w:highlight w:val="none"/>
        </w:rPr>
      </w:pPr>
    </w:p>
    <w:p w14:paraId="72FC3403">
      <w:pPr>
        <w:ind w:firstLine="1205" w:firstLineChars="5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投标人：</w:t>
      </w:r>
      <w:r>
        <w:rPr>
          <w:rFonts w:hint="eastAsia" w:ascii="宋体" w:hAnsi="宋体" w:cs="宋体"/>
          <w:b/>
          <w:bCs/>
          <w:color w:val="auto"/>
          <w:sz w:val="24"/>
          <w:szCs w:val="24"/>
          <w:highlight w:val="none"/>
          <w:u w:val="singl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(电子签章)</w:t>
      </w:r>
    </w:p>
    <w:p w14:paraId="189CD799">
      <w:pPr>
        <w:rPr>
          <w:rFonts w:hint="eastAsia" w:ascii="宋体" w:hAnsi="宋体" w:cs="宋体"/>
          <w:b/>
          <w:bCs/>
          <w:color w:val="auto"/>
          <w:sz w:val="24"/>
          <w:szCs w:val="24"/>
          <w:highlight w:val="none"/>
        </w:rPr>
      </w:pPr>
    </w:p>
    <w:p w14:paraId="0004B8DE">
      <w:pPr>
        <w:ind w:firstLine="1205" w:firstLineChars="5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法定代表人(单位负责人)或其委托代理人：</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(电子签章)</w:t>
      </w:r>
    </w:p>
    <w:p w14:paraId="4DA71A1B">
      <w:pPr>
        <w:rPr>
          <w:rFonts w:hint="eastAsia" w:ascii="宋体" w:hAnsi="宋体" w:cs="宋体"/>
          <w:b/>
          <w:bCs/>
          <w:color w:val="auto"/>
          <w:sz w:val="24"/>
          <w:szCs w:val="24"/>
          <w:highlight w:val="none"/>
        </w:rPr>
      </w:pPr>
    </w:p>
    <w:p w14:paraId="180719BB">
      <w:pPr>
        <w:ind w:firstLine="1205" w:firstLineChars="5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日期：</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 xml:space="preserve">年 </w:t>
      </w:r>
      <w:r>
        <w:rPr>
          <w:rFonts w:hint="eastAsia" w:ascii="宋体" w:hAnsi="宋体" w:cs="宋体"/>
          <w:b/>
          <w:bCs/>
          <w:color w:val="auto"/>
          <w:sz w:val="24"/>
          <w:szCs w:val="24"/>
          <w:highlight w:val="none"/>
          <w:u w:val="singl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 xml:space="preserve">月 </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日</w:t>
      </w:r>
    </w:p>
    <w:p w14:paraId="4D681F4D">
      <w:pPr>
        <w:spacing w:line="480" w:lineRule="auto"/>
        <w:ind w:right="480"/>
        <w:rPr>
          <w:rFonts w:hint="eastAsia" w:ascii="宋体" w:hAnsi="宋体" w:cs="宋体"/>
          <w:color w:val="auto"/>
          <w:sz w:val="24"/>
          <w:szCs w:val="24"/>
          <w:highlight w:val="none"/>
        </w:rPr>
      </w:pPr>
    </w:p>
    <w:p w14:paraId="2D7B0A5F">
      <w:pPr>
        <w:spacing w:line="240" w:lineRule="exact"/>
        <w:rPr>
          <w:rFonts w:hint="eastAsia" w:ascii="宋体" w:hAnsi="宋体" w:cs="宋体"/>
          <w:b/>
          <w:bCs/>
          <w:color w:val="auto"/>
          <w:sz w:val="44"/>
          <w:szCs w:val="44"/>
          <w:highlight w:val="none"/>
        </w:rPr>
      </w:pPr>
      <w:r>
        <w:rPr>
          <w:rFonts w:hint="eastAsia" w:ascii="宋体" w:hAnsi="宋体" w:cs="宋体"/>
          <w:color w:val="auto"/>
          <w:sz w:val="28"/>
          <w:szCs w:val="28"/>
          <w:highlight w:val="none"/>
        </w:rPr>
        <w:br w:type="page"/>
      </w:r>
    </w:p>
    <w:p w14:paraId="6AAE0550">
      <w:pPr>
        <w:pStyle w:val="5"/>
        <w:widowControl/>
        <w:autoSpaceDE w:val="0"/>
        <w:spacing w:before="0" w:after="0" w:line="240" w:lineRule="auto"/>
        <w:jc w:val="center"/>
        <w:rPr>
          <w:rFonts w:hint="eastAsia" w:ascii="宋体" w:hAnsi="宋体" w:cs="宋体"/>
          <w:color w:val="auto"/>
          <w:sz w:val="28"/>
          <w:szCs w:val="28"/>
          <w:highlight w:val="none"/>
        </w:rPr>
      </w:pPr>
      <w:bookmarkStart w:id="248" w:name="_Toc17435"/>
      <w:bookmarkEnd w:id="248"/>
      <w:bookmarkStart w:id="249" w:name="_Toc28454"/>
      <w:bookmarkStart w:id="250" w:name="_Toc2521"/>
      <w:bookmarkStart w:id="251" w:name="_Toc30371"/>
      <w:r>
        <w:rPr>
          <w:rFonts w:hint="eastAsia" w:ascii="宋体" w:hAnsi="宋体" w:cs="宋体"/>
          <w:color w:val="auto"/>
          <w:sz w:val="28"/>
          <w:szCs w:val="28"/>
          <w:highlight w:val="none"/>
        </w:rPr>
        <w:t>二、投标函</w:t>
      </w:r>
      <w:bookmarkEnd w:id="249"/>
      <w:bookmarkEnd w:id="250"/>
      <w:bookmarkEnd w:id="251"/>
    </w:p>
    <w:p w14:paraId="4F87FA1B">
      <w:pPr>
        <w:spacing w:line="360" w:lineRule="auto"/>
        <w:rPr>
          <w:rFonts w:hint="eastAsia" w:ascii="宋体" w:hAnsi="宋体" w:cs="宋体"/>
          <w:color w:val="auto"/>
          <w:sz w:val="24"/>
          <w:szCs w:val="24"/>
          <w:highlight w:val="none"/>
          <w:u w:val="single"/>
        </w:rPr>
      </w:pPr>
    </w:p>
    <w:p w14:paraId="00A05F54">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(采购人名称)：</w:t>
      </w:r>
    </w:p>
    <w:p w14:paraId="0481C839">
      <w:pPr>
        <w:autoSpaceDE w:val="0"/>
        <w:autoSpaceDN w:val="0"/>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我方已仔细研究了</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(项目名称)招标文件的全部内容，</w:t>
      </w:r>
      <w:r>
        <w:rPr>
          <w:rFonts w:hint="eastAsia" w:ascii="宋体" w:hAnsi="宋体" w:cs="宋体"/>
          <w:color w:val="auto"/>
          <w:sz w:val="24"/>
          <w:highlight w:val="none"/>
        </w:rPr>
        <w:t>且对招标文件无任何异议，并愿意以“开标一览表”所填写的投标</w:t>
      </w:r>
      <w:r>
        <w:rPr>
          <w:rFonts w:hint="eastAsia" w:ascii="宋体" w:hAnsi="宋体" w:cs="宋体"/>
          <w:color w:val="auto"/>
          <w:sz w:val="24"/>
          <w:highlight w:val="none"/>
          <w:lang w:val="en-US" w:eastAsia="zh-CN"/>
        </w:rPr>
        <w:t>报价</w:t>
      </w:r>
      <w:r>
        <w:rPr>
          <w:rFonts w:hint="eastAsia" w:ascii="宋体" w:hAnsi="宋体" w:cs="宋体"/>
          <w:color w:val="auto"/>
          <w:sz w:val="24"/>
          <w:highlight w:val="none"/>
        </w:rPr>
        <w:t>，向你方提供招标文件要求的服务。</w:t>
      </w:r>
      <w:r>
        <w:rPr>
          <w:rFonts w:hint="eastAsia" w:ascii="宋体" w:hAnsi="宋体" w:cs="宋体"/>
          <w:color w:val="auto"/>
          <w:sz w:val="24"/>
          <w:szCs w:val="24"/>
          <w:highlight w:val="none"/>
        </w:rPr>
        <w:t xml:space="preserve">    </w:t>
      </w:r>
    </w:p>
    <w:p w14:paraId="6B565280">
      <w:pPr>
        <w:numPr>
          <w:ilvl w:val="0"/>
          <w:numId w:val="2"/>
        </w:numPr>
        <w:autoSpaceDE w:val="0"/>
        <w:autoSpaceDN w:val="0"/>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我方承诺在投标有效期内不修改或撤销投标文件。否则，你方可不予退还我方的投标保证金。</w:t>
      </w:r>
    </w:p>
    <w:p w14:paraId="6642B2C4">
      <w:pPr>
        <w:autoSpaceDE w:val="0"/>
        <w:autoSpaceDN w:val="0"/>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2.本投标的投标有效期为自投标截止之日起</w:t>
      </w:r>
      <w:r>
        <w:rPr>
          <w:rFonts w:hint="eastAsia" w:ascii="宋体" w:hAnsi="宋体" w:cs="宋体"/>
          <w:color w:val="auto"/>
          <w:sz w:val="24"/>
          <w:highlight w:val="none"/>
          <w:u w:val="single"/>
          <w:lang w:val="en-US" w:eastAsia="zh-CN"/>
        </w:rPr>
        <w:t>90</w:t>
      </w:r>
      <w:r>
        <w:rPr>
          <w:rFonts w:hint="eastAsia" w:ascii="宋体" w:hAnsi="宋体" w:cs="宋体"/>
          <w:color w:val="auto"/>
          <w:sz w:val="24"/>
          <w:highlight w:val="none"/>
        </w:rPr>
        <w:t>个日历天。</w:t>
      </w:r>
    </w:p>
    <w:p w14:paraId="594EE7A7">
      <w:pPr>
        <w:autoSpaceDE w:val="0"/>
        <w:autoSpaceDN w:val="0"/>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3.我方承诺所提交的投标文件及有关资料是完整的、真实的、准确的和有效的，否则，我方承担由此造成的任何损失及引起的任何后果。</w:t>
      </w:r>
    </w:p>
    <w:p w14:paraId="48F51C90">
      <w:pPr>
        <w:autoSpaceDE w:val="0"/>
        <w:autoSpaceDN w:val="0"/>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4．如我方中标：</w:t>
      </w:r>
    </w:p>
    <w:p w14:paraId="27B512BC">
      <w:pPr>
        <w:autoSpaceDE w:val="0"/>
        <w:autoSpaceDN w:val="0"/>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（1）我方承诺在收到中标通知书后，在中标通知书规定的期限内与你方签订合同。</w:t>
      </w:r>
    </w:p>
    <w:p w14:paraId="7245C06F">
      <w:pPr>
        <w:autoSpaceDE w:val="0"/>
        <w:autoSpaceDN w:val="0"/>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（2）我方承诺按合同约定的期限和地点，提供符合招标文件要求的全部服务。</w:t>
      </w:r>
    </w:p>
    <w:p w14:paraId="42516B37">
      <w:pPr>
        <w:autoSpaceDE w:val="0"/>
        <w:autoSpaceDN w:val="0"/>
        <w:adjustRightInd w:val="0"/>
        <w:snapToGrid w:val="0"/>
        <w:spacing w:line="360" w:lineRule="auto"/>
        <w:ind w:firstLine="480" w:firstLineChars="200"/>
        <w:rPr>
          <w:rFonts w:hint="default" w:ascii="宋体" w:hAnsi="宋体" w:cs="宋体"/>
          <w:color w:val="auto"/>
          <w:sz w:val="24"/>
          <w:highlight w:val="none"/>
          <w:lang w:val="en-US" w:eastAsia="zh-CN"/>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）我方承诺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如我方中标，我方针对本项目不分包、转包，否则</w:t>
      </w:r>
      <w:r>
        <w:rPr>
          <w:rFonts w:hint="eastAsia" w:ascii="宋体" w:hAnsi="宋体" w:cs="宋体"/>
          <w:color w:val="auto"/>
          <w:sz w:val="24"/>
          <w:highlight w:val="none"/>
        </w:rPr>
        <w:t>我方承担由此造成的任何损失及引起的任何后果。</w:t>
      </w:r>
    </w:p>
    <w:p w14:paraId="57A7B048">
      <w:pPr>
        <w:autoSpaceDE w:val="0"/>
        <w:autoSpaceDN w:val="0"/>
        <w:adjustRightInd w:val="0"/>
        <w:snapToGrid w:val="0"/>
        <w:spacing w:line="360" w:lineRule="auto"/>
        <w:ind w:firstLine="480" w:firstLineChars="200"/>
        <w:rPr>
          <w:rFonts w:hint="eastAsia" w:ascii="宋体" w:hAnsi="宋体" w:cs="宋体"/>
          <w:color w:val="auto"/>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）除商务条款偏离表列出的偏差外，我方满足招标文件的全部要求。</w:t>
      </w:r>
    </w:p>
    <w:p w14:paraId="10DCBE92">
      <w:pPr>
        <w:autoSpaceDE w:val="0"/>
        <w:autoSpaceDN w:val="0"/>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（其他补充说明）。</w:t>
      </w:r>
    </w:p>
    <w:p w14:paraId="0E9D4A22">
      <w:pPr>
        <w:pStyle w:val="11"/>
        <w:rPr>
          <w:rFonts w:hint="eastAsia"/>
          <w:color w:val="auto"/>
          <w:highlight w:val="none"/>
        </w:rPr>
      </w:pPr>
    </w:p>
    <w:p w14:paraId="7782CF7A">
      <w:pPr>
        <w:spacing w:line="360" w:lineRule="auto"/>
        <w:ind w:firstLine="2891" w:firstLineChars="1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投 标 人：</w:t>
      </w:r>
      <w:r>
        <w:rPr>
          <w:rFonts w:hint="eastAsia" w:ascii="宋体" w:hAnsi="宋体" w:cs="宋体"/>
          <w:b/>
          <w:bCs/>
          <w:color w:val="auto"/>
          <w:sz w:val="24"/>
          <w:szCs w:val="24"/>
          <w:highlight w:val="none"/>
          <w:u w:val="single"/>
        </w:rPr>
        <w:tab/>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(电子签章)</w:t>
      </w:r>
    </w:p>
    <w:p w14:paraId="6AEE86FC">
      <w:pPr>
        <w:spacing w:line="360" w:lineRule="auto"/>
        <w:ind w:left="288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法定代表人(单位负责人)或其委托代理人：</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(电子签章)</w:t>
      </w:r>
    </w:p>
    <w:p w14:paraId="3A0D1659">
      <w:pPr>
        <w:spacing w:line="360" w:lineRule="auto"/>
        <w:ind w:left="2880"/>
        <w:rPr>
          <w:rFonts w:hint="eastAsia" w:ascii="宋体" w:hAnsi="宋体" w:cs="宋体"/>
          <w:b/>
          <w:bCs/>
          <w:color w:val="auto"/>
          <w:sz w:val="24"/>
          <w:szCs w:val="24"/>
          <w:highlight w:val="none"/>
          <w:u w:val="single"/>
        </w:rPr>
      </w:pPr>
      <w:r>
        <w:rPr>
          <w:rFonts w:hint="eastAsia" w:ascii="宋体" w:hAnsi="宋体" w:cs="宋体"/>
          <w:b/>
          <w:bCs/>
          <w:color w:val="auto"/>
          <w:sz w:val="24"/>
          <w:szCs w:val="24"/>
          <w:highlight w:val="none"/>
        </w:rPr>
        <w:t>地</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rPr>
        <w:t>址：</w:t>
      </w:r>
      <w:r>
        <w:rPr>
          <w:rFonts w:hint="eastAsia" w:ascii="宋体" w:hAnsi="宋体" w:cs="宋体"/>
          <w:b/>
          <w:bCs/>
          <w:color w:val="auto"/>
          <w:sz w:val="24"/>
          <w:szCs w:val="24"/>
          <w:highlight w:val="none"/>
          <w:u w:val="single"/>
        </w:rPr>
        <w:t xml:space="preserve">                                           </w:t>
      </w:r>
    </w:p>
    <w:p w14:paraId="1A31C018">
      <w:pPr>
        <w:spacing w:line="360" w:lineRule="auto"/>
        <w:ind w:left="288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网</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rPr>
        <w:t>址：</w:t>
      </w:r>
      <w:r>
        <w:rPr>
          <w:rFonts w:hint="eastAsia" w:ascii="宋体" w:hAnsi="宋体" w:cs="宋体"/>
          <w:b/>
          <w:bCs/>
          <w:color w:val="auto"/>
          <w:sz w:val="24"/>
          <w:szCs w:val="24"/>
          <w:highlight w:val="none"/>
          <w:u w:val="single"/>
        </w:rPr>
        <w:t xml:space="preserve">                                           </w:t>
      </w:r>
    </w:p>
    <w:p w14:paraId="5D7549E4">
      <w:pPr>
        <w:spacing w:line="360" w:lineRule="auto"/>
        <w:ind w:left="288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电</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rPr>
        <w:t>话：</w:t>
      </w:r>
      <w:r>
        <w:rPr>
          <w:rFonts w:hint="eastAsia" w:ascii="宋体" w:hAnsi="宋体" w:cs="宋体"/>
          <w:b/>
          <w:bCs/>
          <w:color w:val="auto"/>
          <w:sz w:val="24"/>
          <w:szCs w:val="24"/>
          <w:highlight w:val="none"/>
          <w:u w:val="single"/>
        </w:rPr>
        <w:t xml:space="preserve">                                           </w:t>
      </w:r>
    </w:p>
    <w:p w14:paraId="7F48BE66">
      <w:pPr>
        <w:spacing w:line="360" w:lineRule="auto"/>
        <w:ind w:left="288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传</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rPr>
        <w:t>真：</w:t>
      </w:r>
      <w:r>
        <w:rPr>
          <w:rFonts w:hint="eastAsia" w:ascii="宋体" w:hAnsi="宋体" w:cs="宋体"/>
          <w:b/>
          <w:bCs/>
          <w:color w:val="auto"/>
          <w:sz w:val="24"/>
          <w:szCs w:val="24"/>
          <w:highlight w:val="none"/>
          <w:u w:val="single"/>
        </w:rPr>
        <w:t xml:space="preserve">                                           </w:t>
      </w:r>
    </w:p>
    <w:p w14:paraId="6C15D570">
      <w:pPr>
        <w:spacing w:line="360" w:lineRule="auto"/>
        <w:ind w:left="288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邮政编码：</w:t>
      </w:r>
      <w:r>
        <w:rPr>
          <w:rFonts w:hint="eastAsia" w:ascii="宋体" w:hAnsi="宋体" w:cs="宋体"/>
          <w:b/>
          <w:bCs/>
          <w:color w:val="auto"/>
          <w:sz w:val="24"/>
          <w:szCs w:val="24"/>
          <w:highlight w:val="none"/>
          <w:u w:val="single"/>
        </w:rPr>
        <w:t xml:space="preserve">                                         </w:t>
      </w:r>
    </w:p>
    <w:p w14:paraId="24803B4E">
      <w:pPr>
        <w:spacing w:line="360" w:lineRule="auto"/>
        <w:ind w:left="288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日  期：</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年</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月</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日</w:t>
      </w:r>
    </w:p>
    <w:p w14:paraId="0722D343">
      <w:pPr>
        <w:spacing w:line="360" w:lineRule="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 xml:space="preserve"> </w:t>
      </w:r>
    </w:p>
    <w:p w14:paraId="43B02BB8">
      <w:pPr>
        <w:spacing w:line="240" w:lineRule="exact"/>
        <w:rPr>
          <w:rFonts w:hint="eastAsia" w:ascii="宋体" w:hAnsi="宋体" w:cs="宋体"/>
          <w:b/>
          <w:bCs/>
          <w:color w:val="auto"/>
          <w:sz w:val="44"/>
          <w:szCs w:val="44"/>
          <w:highlight w:val="none"/>
        </w:rPr>
      </w:pPr>
    </w:p>
    <w:p w14:paraId="0918479C">
      <w:pPr>
        <w:spacing w:line="200" w:lineRule="exact"/>
        <w:rPr>
          <w:rFonts w:hint="eastAsia" w:ascii="宋体" w:hAnsi="宋体" w:cs="宋体"/>
          <w:color w:val="auto"/>
          <w:highlight w:val="none"/>
        </w:rPr>
      </w:pPr>
      <w:bookmarkStart w:id="252" w:name="_Toc17119"/>
      <w:bookmarkEnd w:id="252"/>
      <w:bookmarkStart w:id="253" w:name="_Toc13197"/>
      <w:r>
        <w:rPr>
          <w:rFonts w:hint="eastAsia" w:ascii="宋体" w:hAnsi="宋体" w:cs="宋体"/>
          <w:color w:val="auto"/>
          <w:sz w:val="28"/>
          <w:szCs w:val="28"/>
          <w:highlight w:val="none"/>
        </w:rPr>
        <w:br w:type="page"/>
      </w:r>
      <w:bookmarkEnd w:id="253"/>
    </w:p>
    <w:p w14:paraId="24AE3CDA">
      <w:pPr>
        <w:pStyle w:val="5"/>
        <w:widowControl/>
        <w:autoSpaceDE w:val="0"/>
        <w:spacing w:before="0" w:after="0" w:line="360" w:lineRule="auto"/>
        <w:jc w:val="center"/>
        <w:rPr>
          <w:rFonts w:hint="eastAsia" w:ascii="宋体" w:hAnsi="宋体" w:cs="宋体"/>
          <w:color w:val="auto"/>
          <w:sz w:val="28"/>
          <w:szCs w:val="28"/>
          <w:highlight w:val="none"/>
        </w:rPr>
      </w:pPr>
      <w:bookmarkStart w:id="254" w:name="_Toc3775"/>
      <w:bookmarkStart w:id="255" w:name="_Toc20087"/>
      <w:r>
        <w:rPr>
          <w:rFonts w:hint="eastAsia" w:ascii="宋体" w:hAnsi="宋体" w:cs="宋体"/>
          <w:color w:val="auto"/>
          <w:sz w:val="28"/>
          <w:szCs w:val="28"/>
          <w:highlight w:val="none"/>
        </w:rPr>
        <w:t>三、法定代表人(单位负责人)身份证明</w:t>
      </w:r>
      <w:bookmarkEnd w:id="254"/>
      <w:r>
        <w:rPr>
          <w:rFonts w:hint="eastAsia" w:ascii="宋体" w:hAnsi="宋体" w:cs="宋体"/>
          <w:color w:val="auto"/>
          <w:sz w:val="28"/>
          <w:szCs w:val="28"/>
          <w:highlight w:val="none"/>
        </w:rPr>
        <w:t>书</w:t>
      </w:r>
      <w:bookmarkEnd w:id="255"/>
    </w:p>
    <w:p w14:paraId="3F7F63CC">
      <w:pPr>
        <w:spacing w:line="200" w:lineRule="exact"/>
        <w:rPr>
          <w:rFonts w:hint="eastAsia" w:ascii="宋体" w:hAnsi="宋体" w:cs="宋体"/>
          <w:color w:val="auto"/>
          <w:highlight w:val="none"/>
        </w:rPr>
      </w:pPr>
    </w:p>
    <w:p w14:paraId="1246EC13">
      <w:pPr>
        <w:spacing w:line="200" w:lineRule="exact"/>
        <w:rPr>
          <w:rFonts w:hint="eastAsia" w:ascii="宋体" w:hAnsi="宋体" w:cs="宋体"/>
          <w:color w:val="auto"/>
          <w:highlight w:val="none"/>
        </w:rPr>
      </w:pPr>
    </w:p>
    <w:p w14:paraId="286A9AF4">
      <w:pPr>
        <w:spacing w:line="200" w:lineRule="exact"/>
        <w:rPr>
          <w:rFonts w:hint="eastAsia" w:ascii="宋体" w:hAnsi="宋体" w:cs="宋体"/>
          <w:color w:val="auto"/>
          <w:highlight w:val="none"/>
        </w:rPr>
      </w:pPr>
    </w:p>
    <w:p w14:paraId="683DD54B">
      <w:pPr>
        <w:autoSpaceDE w:val="0"/>
        <w:autoSpaceDN w:val="0"/>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投标人名称：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52F4F1BA">
      <w:pPr>
        <w:autoSpaceDE w:val="0"/>
        <w:autoSpaceDN w:val="0"/>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单位性质：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2C5BE3E">
      <w:pPr>
        <w:autoSpaceDE w:val="0"/>
        <w:autoSpaceDN w:val="0"/>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1C6015CA">
      <w:pPr>
        <w:autoSpaceDE w:val="0"/>
        <w:autoSpaceDN w:val="0"/>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成立时间：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50B76346">
      <w:pPr>
        <w:autoSpaceDE w:val="0"/>
        <w:autoSpaceDN w:val="0"/>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经营期限：</w:t>
      </w:r>
      <w:r>
        <w:rPr>
          <w:rFonts w:hint="eastAsia" w:ascii="宋体" w:hAnsi="宋体" w:cs="宋体"/>
          <w:color w:val="auto"/>
          <w:sz w:val="24"/>
          <w:highlight w:val="none"/>
          <w:u w:val="single"/>
        </w:rPr>
        <w:t xml:space="preserve">                         </w:t>
      </w:r>
    </w:p>
    <w:p w14:paraId="75CA3962">
      <w:pPr>
        <w:spacing w:line="360" w:lineRule="auto"/>
        <w:ind w:firstLine="480" w:firstLineChars="200"/>
        <w:rPr>
          <w:rFonts w:hint="eastAsia" w:ascii="宋体" w:hAnsi="宋体" w:cs="宋体"/>
          <w:color w:val="auto"/>
          <w:sz w:val="24"/>
          <w:szCs w:val="24"/>
          <w:highlight w:val="none"/>
        </w:rPr>
      </w:pPr>
    </w:p>
    <w:p w14:paraId="6209F6D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姓名：</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性别：</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年龄：</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职务：</w:t>
      </w:r>
      <w:r>
        <w:rPr>
          <w:rFonts w:hint="eastAsia" w:ascii="宋体" w:hAnsi="宋体" w:cs="宋体"/>
          <w:color w:val="auto"/>
          <w:sz w:val="24"/>
          <w:szCs w:val="24"/>
          <w:highlight w:val="none"/>
          <w:u w:val="single"/>
        </w:rPr>
        <w:t xml:space="preserve">          </w:t>
      </w:r>
    </w:p>
    <w:p w14:paraId="3CDC42B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系</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(投标人名称)的法定代表人(单位负责人)。</w:t>
      </w:r>
    </w:p>
    <w:p w14:paraId="5490724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特此证明。</w:t>
      </w:r>
    </w:p>
    <w:p w14:paraId="71011605">
      <w:pPr>
        <w:spacing w:line="480" w:lineRule="auto"/>
        <w:rPr>
          <w:rFonts w:hint="eastAsia" w:ascii="宋体" w:hAnsi="宋体" w:cs="宋体"/>
          <w:color w:val="auto"/>
          <w:sz w:val="24"/>
          <w:szCs w:val="24"/>
          <w:highlight w:val="none"/>
        </w:rPr>
      </w:pPr>
    </w:p>
    <w:p w14:paraId="4926B339">
      <w:pPr>
        <w:spacing w:line="48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附：法定代表人(单位负责人)身份证扫描件。</w:t>
      </w:r>
    </w:p>
    <w:p w14:paraId="55C30176">
      <w:pPr>
        <w:spacing w:line="360" w:lineRule="auto"/>
        <w:ind w:left="4480"/>
        <w:jc w:val="both"/>
        <w:rPr>
          <w:rFonts w:hint="eastAsia" w:ascii="宋体" w:hAnsi="宋体" w:cs="宋体"/>
          <w:b/>
          <w:color w:val="auto"/>
          <w:sz w:val="24"/>
          <w:szCs w:val="24"/>
          <w:highlight w:val="none"/>
        </w:rPr>
      </w:pPr>
    </w:p>
    <w:p w14:paraId="17BB83A6">
      <w:pPr>
        <w:spacing w:line="360" w:lineRule="auto"/>
        <w:ind w:left="4480"/>
        <w:jc w:val="both"/>
        <w:rPr>
          <w:rFonts w:hint="eastAsia" w:ascii="宋体" w:hAnsi="宋体" w:cs="宋体"/>
          <w:b/>
          <w:color w:val="auto"/>
          <w:sz w:val="24"/>
          <w:szCs w:val="24"/>
          <w:highlight w:val="none"/>
        </w:rPr>
      </w:pPr>
    </w:p>
    <w:p w14:paraId="331043CD">
      <w:pPr>
        <w:spacing w:line="360" w:lineRule="auto"/>
        <w:jc w:val="right"/>
        <w:rPr>
          <w:rFonts w:hint="eastAsia" w:ascii="宋体" w:hAnsi="宋体" w:cs="宋体"/>
          <w:b/>
          <w:color w:val="auto"/>
          <w:sz w:val="24"/>
          <w:szCs w:val="24"/>
          <w:highlight w:val="none"/>
        </w:rPr>
      </w:pPr>
      <w:r>
        <w:rPr>
          <w:rFonts w:hint="eastAsia" w:ascii="宋体" w:hAnsi="宋体" w:cs="宋体"/>
          <w:b/>
          <w:color w:val="auto"/>
          <w:sz w:val="24"/>
          <w:szCs w:val="24"/>
          <w:highlight w:val="none"/>
        </w:rPr>
        <w:t>投标人：</w:t>
      </w:r>
      <w:r>
        <w:rPr>
          <w:rFonts w:hint="eastAsia" w:ascii="宋体" w:hAnsi="宋体" w:cs="宋体"/>
          <w:b/>
          <w:color w:val="auto"/>
          <w:sz w:val="24"/>
          <w:szCs w:val="24"/>
          <w:highlight w:val="none"/>
          <w:u w:val="single"/>
        </w:rPr>
        <w:tab/>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rPr>
        <w:t>(电子签章)</w:t>
      </w:r>
    </w:p>
    <w:p w14:paraId="3599BDAD">
      <w:pPr>
        <w:spacing w:line="20" w:lineRule="exact"/>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 </w:t>
      </w:r>
    </w:p>
    <w:p w14:paraId="578C9959">
      <w:pPr>
        <w:spacing w:line="200" w:lineRule="exact"/>
        <w:rPr>
          <w:rFonts w:hint="eastAsia" w:ascii="宋体" w:hAnsi="宋体" w:cs="宋体"/>
          <w:b/>
          <w:color w:val="auto"/>
          <w:sz w:val="24"/>
          <w:szCs w:val="24"/>
          <w:highlight w:val="none"/>
        </w:rPr>
      </w:pPr>
    </w:p>
    <w:p w14:paraId="285182BB">
      <w:pPr>
        <w:spacing w:line="200" w:lineRule="exact"/>
        <w:rPr>
          <w:rFonts w:hint="eastAsia" w:ascii="宋体" w:hAnsi="宋体" w:cs="宋体"/>
          <w:b/>
          <w:color w:val="auto"/>
          <w:sz w:val="24"/>
          <w:szCs w:val="24"/>
          <w:highlight w:val="none"/>
        </w:rPr>
      </w:pPr>
    </w:p>
    <w:p w14:paraId="15DF3AED">
      <w:pPr>
        <w:wordWrap w:val="0"/>
        <w:ind w:right="480"/>
        <w:jc w:val="center"/>
        <w:rPr>
          <w:rFonts w:hint="eastAsia" w:ascii="宋体" w:hAnsi="宋体" w:cs="宋体"/>
          <w:b/>
          <w:color w:val="auto"/>
          <w:sz w:val="24"/>
          <w:szCs w:val="24"/>
          <w:highlight w:val="none"/>
        </w:rPr>
      </w:pPr>
    </w:p>
    <w:p w14:paraId="1ACC9F32">
      <w:pPr>
        <w:wordWrap w:val="0"/>
        <w:ind w:right="480"/>
        <w:jc w:val="right"/>
        <w:rPr>
          <w:rFonts w:hint="eastAsia" w:ascii="宋体" w:hAnsi="宋体" w:cs="宋体"/>
          <w:b/>
          <w:color w:val="auto"/>
          <w:sz w:val="24"/>
          <w:szCs w:val="24"/>
          <w:highlight w:val="none"/>
        </w:rPr>
      </w:pPr>
      <w:r>
        <w:rPr>
          <w:rFonts w:hint="eastAsia" w:ascii="宋体" w:hAnsi="宋体" w:cs="宋体"/>
          <w:b/>
          <w:color w:val="auto"/>
          <w:sz w:val="24"/>
          <w:szCs w:val="24"/>
          <w:highlight w:val="none"/>
        </w:rPr>
        <w:t>日  期：</w:t>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rPr>
        <w:t>年</w:t>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rPr>
        <w:t>月</w:t>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rPr>
        <w:t>日</w:t>
      </w:r>
    </w:p>
    <w:p w14:paraId="244D3DEC">
      <w:pPr>
        <w:spacing w:line="360" w:lineRule="auto"/>
        <w:ind w:firstLine="5760" w:firstLineChars="2400"/>
        <w:jc w:val="both"/>
        <w:rPr>
          <w:rFonts w:hint="eastAsia" w:ascii="宋体" w:hAnsi="宋体" w:cs="宋体"/>
          <w:color w:val="auto"/>
          <w:sz w:val="24"/>
          <w:szCs w:val="24"/>
          <w:highlight w:val="none"/>
        </w:rPr>
      </w:pPr>
    </w:p>
    <w:p w14:paraId="202CDDCE">
      <w:pPr>
        <w:spacing w:line="20" w:lineRule="exact"/>
        <w:rPr>
          <w:rFonts w:hint="eastAsia" w:ascii="宋体" w:hAnsi="宋体" w:cs="宋体"/>
          <w:b/>
          <w:bCs/>
          <w:color w:val="auto"/>
          <w:sz w:val="44"/>
          <w:szCs w:val="44"/>
          <w:highlight w:val="none"/>
        </w:rPr>
      </w:pPr>
      <w:r>
        <w:rPr>
          <w:rFonts w:hint="eastAsia" w:ascii="宋体" w:hAnsi="宋体" w:cs="宋体"/>
          <w:color w:val="auto"/>
          <w:highlight w:val="none"/>
        </w:rPr>
        <w:t xml:space="preserve"> </w:t>
      </w:r>
    </w:p>
    <w:tbl>
      <w:tblPr>
        <w:tblStyle w:val="33"/>
        <w:tblW w:w="9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7"/>
      </w:tblGrid>
      <w:tr w14:paraId="48EF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3" w:hRule="atLeast"/>
        </w:trPr>
        <w:tc>
          <w:tcPr>
            <w:tcW w:w="9627" w:type="dxa"/>
            <w:vAlign w:val="center"/>
          </w:tcPr>
          <w:p w14:paraId="553929CC">
            <w:pPr>
              <w:widowControl w:val="0"/>
              <w:spacing w:before="240" w:beforeLines="100" w:after="240" w:afterLines="100" w:line="600" w:lineRule="exact"/>
              <w:jc w:val="center"/>
              <w:rPr>
                <w:rFonts w:hint="eastAsia" w:ascii="宋体" w:hAnsi="宋体" w:cs="宋体"/>
                <w:color w:val="auto"/>
                <w:highlight w:val="none"/>
              </w:rPr>
            </w:pPr>
            <w:r>
              <w:rPr>
                <w:rFonts w:hint="eastAsia" w:ascii="宋体" w:hAnsi="宋体" w:cs="宋体"/>
                <w:color w:val="auto"/>
                <w:sz w:val="24"/>
                <w:szCs w:val="24"/>
                <w:highlight w:val="none"/>
              </w:rPr>
              <w:t>法定代表人(单位负责人)身份证正反面</w:t>
            </w:r>
          </w:p>
        </w:tc>
      </w:tr>
    </w:tbl>
    <w:p w14:paraId="1E8A7926">
      <w:pPr>
        <w:spacing w:line="240" w:lineRule="exact"/>
        <w:rPr>
          <w:rFonts w:hint="eastAsia" w:ascii="宋体" w:hAnsi="宋体" w:cs="宋体"/>
          <w:b/>
          <w:bCs/>
          <w:color w:val="auto"/>
          <w:sz w:val="44"/>
          <w:szCs w:val="44"/>
          <w:highlight w:val="none"/>
        </w:rPr>
      </w:pPr>
      <w:r>
        <w:rPr>
          <w:rFonts w:hint="eastAsia" w:ascii="宋体" w:hAnsi="宋体" w:cs="宋体"/>
          <w:color w:val="auto"/>
          <w:sz w:val="28"/>
          <w:szCs w:val="28"/>
          <w:highlight w:val="none"/>
        </w:rPr>
        <w:br w:type="page"/>
      </w:r>
    </w:p>
    <w:p w14:paraId="5C495589">
      <w:pPr>
        <w:pStyle w:val="5"/>
        <w:widowControl/>
        <w:autoSpaceDE w:val="0"/>
        <w:spacing w:before="0" w:after="0" w:line="360" w:lineRule="auto"/>
        <w:jc w:val="center"/>
        <w:rPr>
          <w:rFonts w:hint="eastAsia" w:ascii="宋体" w:hAnsi="宋体" w:cs="宋体"/>
          <w:color w:val="auto"/>
          <w:sz w:val="28"/>
          <w:szCs w:val="28"/>
          <w:highlight w:val="none"/>
        </w:rPr>
      </w:pPr>
      <w:bookmarkStart w:id="256" w:name="_Toc15398"/>
      <w:bookmarkEnd w:id="256"/>
      <w:bookmarkStart w:id="257" w:name="_Toc31847"/>
      <w:bookmarkEnd w:id="257"/>
      <w:bookmarkStart w:id="258" w:name="_Toc5940"/>
      <w:r>
        <w:rPr>
          <w:rFonts w:hint="eastAsia" w:ascii="宋体" w:hAnsi="宋体" w:cs="宋体"/>
          <w:color w:val="auto"/>
          <w:sz w:val="28"/>
          <w:szCs w:val="28"/>
          <w:highlight w:val="none"/>
        </w:rPr>
        <w:t>四、授权委托书</w:t>
      </w:r>
      <w:bookmarkEnd w:id="258"/>
    </w:p>
    <w:p w14:paraId="3DDF9620">
      <w:pPr>
        <w:spacing w:line="200" w:lineRule="exact"/>
        <w:rPr>
          <w:rFonts w:hint="eastAsia" w:ascii="宋体" w:hAnsi="宋体" w:cs="宋体"/>
          <w:color w:val="auto"/>
          <w:highlight w:val="none"/>
        </w:rPr>
      </w:pPr>
    </w:p>
    <w:p w14:paraId="345C41E8">
      <w:pPr>
        <w:spacing w:line="200" w:lineRule="exact"/>
        <w:rPr>
          <w:rFonts w:hint="eastAsia" w:ascii="宋体" w:hAnsi="宋体" w:cs="宋体"/>
          <w:color w:val="auto"/>
          <w:highlight w:val="none"/>
        </w:rPr>
      </w:pPr>
    </w:p>
    <w:p w14:paraId="4E8D9AC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(姓名)系</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(投标人名称)的法定代表人(单位负责人)，现委托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(姓名)为我方代理人。代理人根据授权，以我方名义签署、澄清、说明、补正、撤回、修改</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（项目名称）投标文件、签订合同和处理有关事宜，其法律后果由我方承担。</w:t>
      </w:r>
    </w:p>
    <w:p w14:paraId="593DEED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代理人无转委托权。</w:t>
      </w:r>
    </w:p>
    <w:p w14:paraId="745ED60B">
      <w:pPr>
        <w:spacing w:before="468" w:line="360" w:lineRule="auto"/>
        <w:ind w:firstLine="3373" w:firstLineChars="1400"/>
        <w:rPr>
          <w:rFonts w:hint="eastAsia" w:ascii="宋体" w:hAnsi="宋体" w:cs="宋体"/>
          <w:b/>
          <w:color w:val="auto"/>
          <w:sz w:val="24"/>
          <w:szCs w:val="24"/>
          <w:highlight w:val="none"/>
        </w:rPr>
      </w:pPr>
      <w:r>
        <w:rPr>
          <w:rFonts w:hint="eastAsia" w:ascii="宋体" w:hAnsi="宋体" w:cs="宋体"/>
          <w:b/>
          <w:color w:val="auto"/>
          <w:sz w:val="24"/>
          <w:szCs w:val="24"/>
          <w:highlight w:val="none"/>
        </w:rPr>
        <w:t>投 标 人：</w:t>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rPr>
        <w:t>(电子签章)</w:t>
      </w:r>
    </w:p>
    <w:p w14:paraId="104A7941">
      <w:pPr>
        <w:spacing w:before="468" w:line="360" w:lineRule="auto"/>
        <w:ind w:firstLine="3373" w:firstLineChars="1400"/>
        <w:rPr>
          <w:rFonts w:hint="eastAsia" w:ascii="宋体" w:hAnsi="宋体" w:cs="宋体"/>
          <w:b/>
          <w:color w:val="auto"/>
          <w:sz w:val="24"/>
          <w:szCs w:val="24"/>
          <w:highlight w:val="none"/>
        </w:rPr>
      </w:pPr>
      <w:r>
        <w:rPr>
          <w:rFonts w:hint="eastAsia" w:ascii="宋体" w:hAnsi="宋体" w:cs="宋体"/>
          <w:b/>
          <w:color w:val="auto"/>
          <w:sz w:val="24"/>
          <w:szCs w:val="24"/>
          <w:highlight w:val="none"/>
        </w:rPr>
        <w:t>法定代表人(单位负责人)：</w:t>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rPr>
        <w:t>(电子签章)</w:t>
      </w:r>
    </w:p>
    <w:p w14:paraId="674C096D">
      <w:pPr>
        <w:autoSpaceDE w:val="0"/>
        <w:autoSpaceDN w:val="0"/>
        <w:adjustRightInd w:val="0"/>
        <w:spacing w:line="360" w:lineRule="auto"/>
        <w:ind w:firstLine="3373" w:firstLineChars="1400"/>
        <w:rPr>
          <w:rFonts w:hint="eastAsia" w:ascii="宋体" w:hAnsi="宋体" w:cs="宋体"/>
          <w:b/>
          <w:bCs/>
          <w:color w:val="auto"/>
          <w:sz w:val="24"/>
          <w:szCs w:val="24"/>
          <w:highlight w:val="none"/>
          <w:u w:val="single"/>
        </w:rPr>
      </w:pPr>
      <w:r>
        <w:rPr>
          <w:rFonts w:hint="eastAsia" w:ascii="宋体" w:hAnsi="宋体" w:cs="宋体"/>
          <w:b/>
          <w:bCs/>
          <w:color w:val="auto"/>
          <w:sz w:val="24"/>
          <w:szCs w:val="24"/>
          <w:highlight w:val="none"/>
        </w:rPr>
        <w:t>身份证号码：</w:t>
      </w:r>
      <w:r>
        <w:rPr>
          <w:rFonts w:hint="eastAsia" w:ascii="宋体" w:hAnsi="宋体" w:cs="宋体"/>
          <w:b/>
          <w:bCs/>
          <w:color w:val="auto"/>
          <w:sz w:val="24"/>
          <w:szCs w:val="24"/>
          <w:highlight w:val="none"/>
          <w:u w:val="single"/>
        </w:rPr>
        <w:t xml:space="preserve">                            </w:t>
      </w:r>
    </w:p>
    <w:p w14:paraId="7D87A05B">
      <w:pPr>
        <w:spacing w:before="468" w:line="360" w:lineRule="auto"/>
        <w:ind w:firstLine="3373" w:firstLineChars="1400"/>
        <w:rPr>
          <w:rFonts w:hint="eastAsia" w:ascii="宋体" w:hAnsi="宋体" w:cs="宋体"/>
          <w:b/>
          <w:color w:val="auto"/>
          <w:sz w:val="24"/>
          <w:szCs w:val="24"/>
          <w:highlight w:val="none"/>
        </w:rPr>
      </w:pPr>
      <w:r>
        <w:rPr>
          <w:rFonts w:hint="eastAsia" w:ascii="宋体" w:hAnsi="宋体" w:cs="宋体"/>
          <w:b/>
          <w:color w:val="auto"/>
          <w:sz w:val="24"/>
          <w:szCs w:val="24"/>
          <w:highlight w:val="none"/>
        </w:rPr>
        <w:t>委托代理人：</w:t>
      </w:r>
      <w:r>
        <w:rPr>
          <w:rFonts w:hint="eastAsia" w:ascii="宋体" w:hAnsi="宋体" w:cs="宋体"/>
          <w:b/>
          <w:color w:val="auto"/>
          <w:sz w:val="24"/>
          <w:szCs w:val="24"/>
          <w:highlight w:val="none"/>
          <w:u w:val="single"/>
        </w:rPr>
        <w:t xml:space="preserve">                       </w:t>
      </w:r>
    </w:p>
    <w:p w14:paraId="5E10B272">
      <w:pPr>
        <w:autoSpaceDE w:val="0"/>
        <w:autoSpaceDN w:val="0"/>
        <w:adjustRightInd w:val="0"/>
        <w:spacing w:line="360" w:lineRule="auto"/>
        <w:ind w:firstLine="3373" w:firstLineChars="1400"/>
        <w:rPr>
          <w:rFonts w:hint="eastAsia" w:ascii="宋体" w:hAnsi="宋体" w:cs="宋体"/>
          <w:color w:val="auto"/>
          <w:highlight w:val="none"/>
        </w:rPr>
      </w:pPr>
      <w:r>
        <w:rPr>
          <w:rFonts w:hint="eastAsia" w:ascii="宋体" w:hAnsi="宋体" w:cs="宋体"/>
          <w:b/>
          <w:bCs/>
          <w:color w:val="auto"/>
          <w:sz w:val="24"/>
          <w:highlight w:val="none"/>
        </w:rPr>
        <w:t>身份证号码：</w:t>
      </w:r>
      <w:r>
        <w:rPr>
          <w:rFonts w:hint="eastAsia" w:ascii="宋体" w:hAnsi="宋体" w:cs="宋体"/>
          <w:b/>
          <w:bCs/>
          <w:color w:val="auto"/>
          <w:sz w:val="24"/>
          <w:highlight w:val="none"/>
          <w:u w:val="single"/>
        </w:rPr>
        <w:t xml:space="preserve">                            </w:t>
      </w:r>
    </w:p>
    <w:p w14:paraId="41C48432">
      <w:pPr>
        <w:spacing w:before="468" w:line="360" w:lineRule="auto"/>
        <w:ind w:firstLine="3373" w:firstLineChars="1400"/>
        <w:rPr>
          <w:rFonts w:hint="eastAsia" w:ascii="宋体" w:hAnsi="宋体" w:cs="宋体"/>
          <w:b/>
          <w:color w:val="auto"/>
          <w:sz w:val="24"/>
          <w:szCs w:val="24"/>
          <w:highlight w:val="none"/>
        </w:rPr>
      </w:pPr>
      <w:r>
        <w:rPr>
          <w:rFonts w:hint="eastAsia" w:ascii="宋体" w:hAnsi="宋体" w:cs="宋体"/>
          <w:b/>
          <w:color w:val="auto"/>
          <w:sz w:val="24"/>
          <w:szCs w:val="24"/>
          <w:highlight w:val="none"/>
        </w:rPr>
        <w:t>日期：</w:t>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rPr>
        <w:t>年</w:t>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rPr>
        <w:t>月</w:t>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rPr>
        <w:t>日</w:t>
      </w:r>
    </w:p>
    <w:p w14:paraId="1106F059">
      <w:pPr>
        <w:spacing w:line="360" w:lineRule="auto"/>
        <w:ind w:right="482" w:firstLine="482" w:firstLineChars="200"/>
        <w:rPr>
          <w:rFonts w:hint="eastAsia" w:ascii="宋体" w:hAnsi="宋体"/>
          <w:color w:val="auto"/>
          <w:sz w:val="24"/>
          <w:szCs w:val="24"/>
          <w:highlight w:val="none"/>
        </w:rPr>
      </w:pPr>
      <w:r>
        <w:rPr>
          <w:rFonts w:hint="eastAsia" w:ascii="宋体" w:hAnsi="宋体"/>
          <w:b/>
          <w:color w:val="auto"/>
          <w:sz w:val="24"/>
          <w:szCs w:val="24"/>
          <w:highlight w:val="none"/>
        </w:rPr>
        <w:t>注：</w:t>
      </w:r>
      <w:r>
        <w:rPr>
          <w:rFonts w:ascii="宋体" w:hAnsi="宋体"/>
          <w:b/>
          <w:color w:val="auto"/>
          <w:sz w:val="24"/>
          <w:highlight w:val="none"/>
        </w:rPr>
        <w:t>附授权委托代理人身份证</w:t>
      </w:r>
      <w:r>
        <w:rPr>
          <w:rFonts w:hint="eastAsia" w:ascii="宋体" w:hAnsi="宋体"/>
          <w:b/>
          <w:color w:val="auto"/>
          <w:sz w:val="24"/>
          <w:szCs w:val="24"/>
          <w:highlight w:val="none"/>
        </w:rPr>
        <w:t>扫描件</w:t>
      </w:r>
      <w:r>
        <w:rPr>
          <w:rFonts w:ascii="宋体" w:hAnsi="宋体"/>
          <w:b/>
          <w:color w:val="auto"/>
          <w:sz w:val="24"/>
          <w:highlight w:val="none"/>
        </w:rPr>
        <w:t>，如由法定代表人亲自签署</w:t>
      </w:r>
      <w:r>
        <w:rPr>
          <w:rFonts w:ascii="宋体" w:hAnsi="宋体"/>
          <w:b/>
          <w:bCs/>
          <w:color w:val="auto"/>
          <w:sz w:val="24"/>
          <w:highlight w:val="none"/>
        </w:rPr>
        <w:t>投标文件</w:t>
      </w:r>
      <w:r>
        <w:rPr>
          <w:rFonts w:ascii="宋体" w:hAnsi="宋体"/>
          <w:b/>
          <w:color w:val="auto"/>
          <w:sz w:val="24"/>
          <w:highlight w:val="none"/>
        </w:rPr>
        <w:t>并参与相关活动，则不需要办理授权。如由被授权的代理人签署上述文件，则必须按本格式规定填报并提交授权书，否则被授权的代理人将不被认可</w:t>
      </w:r>
      <w:r>
        <w:rPr>
          <w:rFonts w:hint="eastAsia" w:ascii="宋体" w:hAnsi="宋体"/>
          <w:b/>
          <w:color w:val="auto"/>
          <w:sz w:val="24"/>
          <w:highlight w:val="none"/>
        </w:rPr>
        <w:t>。</w:t>
      </w:r>
    </w:p>
    <w:tbl>
      <w:tblPr>
        <w:tblStyle w:val="33"/>
        <w:tblW w:w="9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7"/>
      </w:tblGrid>
      <w:tr w14:paraId="6046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9" w:hRule="atLeast"/>
        </w:trPr>
        <w:tc>
          <w:tcPr>
            <w:tcW w:w="9627" w:type="dxa"/>
            <w:vAlign w:val="center"/>
          </w:tcPr>
          <w:p w14:paraId="5FC8721D">
            <w:pPr>
              <w:widowControl w:val="0"/>
              <w:spacing w:before="240" w:beforeLines="100" w:after="240" w:afterLines="100" w:line="600" w:lineRule="exact"/>
              <w:jc w:val="center"/>
              <w:rPr>
                <w:rFonts w:hint="eastAsia" w:ascii="宋体" w:hAnsi="宋体" w:cs="宋体"/>
                <w:color w:val="auto"/>
                <w:highlight w:val="none"/>
              </w:rPr>
            </w:pPr>
            <w:r>
              <w:rPr>
                <w:rFonts w:hint="eastAsia" w:ascii="宋体" w:hAnsi="宋体" w:cs="宋体"/>
                <w:color w:val="auto"/>
                <w:sz w:val="24"/>
                <w:szCs w:val="24"/>
                <w:highlight w:val="none"/>
              </w:rPr>
              <w:t>代理人身份证正反面</w:t>
            </w:r>
          </w:p>
        </w:tc>
      </w:tr>
    </w:tbl>
    <w:p w14:paraId="449AC7DF">
      <w:pPr>
        <w:rPr>
          <w:rFonts w:hint="eastAsia" w:ascii="宋体" w:hAnsi="宋体" w:cs="宋体"/>
          <w:b/>
          <w:bCs/>
          <w:color w:val="auto"/>
          <w:sz w:val="28"/>
          <w:szCs w:val="28"/>
          <w:highlight w:val="none"/>
        </w:rPr>
      </w:pPr>
      <w:bookmarkStart w:id="259" w:name="_Toc26620"/>
      <w:bookmarkEnd w:id="259"/>
      <w:bookmarkStart w:id="260" w:name="_Toc25271"/>
      <w:bookmarkEnd w:id="260"/>
      <w:bookmarkStart w:id="261" w:name="_Toc28613"/>
      <w:bookmarkStart w:id="262" w:name="_Toc18331"/>
      <w:r>
        <w:rPr>
          <w:rFonts w:hint="eastAsia" w:ascii="宋体" w:hAnsi="宋体" w:cs="宋体"/>
          <w:b/>
          <w:bCs/>
          <w:color w:val="auto"/>
          <w:sz w:val="28"/>
          <w:szCs w:val="28"/>
          <w:highlight w:val="none"/>
        </w:rPr>
        <w:br w:type="page"/>
      </w:r>
    </w:p>
    <w:p w14:paraId="7B4632DD">
      <w:pPr>
        <w:pStyle w:val="5"/>
        <w:widowControl/>
        <w:autoSpaceDE w:val="0"/>
        <w:spacing w:before="0" w:after="0" w:line="360" w:lineRule="auto"/>
        <w:jc w:val="center"/>
        <w:rPr>
          <w:rFonts w:hint="eastAsia" w:ascii="宋体" w:hAnsi="宋体" w:cs="宋体"/>
          <w:color w:val="auto"/>
          <w:sz w:val="28"/>
          <w:szCs w:val="28"/>
          <w:highlight w:val="none"/>
        </w:rPr>
      </w:pPr>
      <w:bookmarkStart w:id="263" w:name="_Toc21986"/>
      <w:r>
        <w:rPr>
          <w:rFonts w:hint="eastAsia" w:ascii="宋体" w:hAnsi="宋体" w:cs="宋体"/>
          <w:color w:val="auto"/>
          <w:sz w:val="28"/>
          <w:szCs w:val="28"/>
          <w:highlight w:val="none"/>
        </w:rPr>
        <w:t>五、投标人基本情况表</w:t>
      </w:r>
      <w:bookmarkEnd w:id="263"/>
    </w:p>
    <w:tbl>
      <w:tblPr>
        <w:tblStyle w:val="33"/>
        <w:tblW w:w="9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9"/>
        <w:gridCol w:w="1350"/>
        <w:gridCol w:w="2721"/>
        <w:gridCol w:w="1404"/>
        <w:gridCol w:w="1982"/>
      </w:tblGrid>
      <w:tr w14:paraId="4874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4" w:hRule="atLeast"/>
          <w:jc w:val="center"/>
        </w:trPr>
        <w:tc>
          <w:tcPr>
            <w:tcW w:w="2449" w:type="dxa"/>
            <w:tcBorders>
              <w:top w:val="single" w:color="auto" w:sz="4" w:space="0"/>
              <w:left w:val="single" w:color="auto" w:sz="4" w:space="0"/>
              <w:bottom w:val="single" w:color="auto" w:sz="4" w:space="0"/>
              <w:right w:val="single" w:color="auto" w:sz="4" w:space="0"/>
            </w:tcBorders>
            <w:vAlign w:val="center"/>
          </w:tcPr>
          <w:p w14:paraId="366CEDCD">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投标人名称</w:t>
            </w:r>
          </w:p>
        </w:tc>
        <w:tc>
          <w:tcPr>
            <w:tcW w:w="7457" w:type="dxa"/>
            <w:gridSpan w:val="4"/>
            <w:tcBorders>
              <w:top w:val="single" w:color="auto" w:sz="4" w:space="0"/>
              <w:left w:val="nil"/>
              <w:bottom w:val="single" w:color="auto" w:sz="4" w:space="0"/>
              <w:right w:val="single" w:color="auto" w:sz="4" w:space="0"/>
            </w:tcBorders>
            <w:vAlign w:val="center"/>
          </w:tcPr>
          <w:p w14:paraId="21BC94A9">
            <w:pPr>
              <w:spacing w:line="440" w:lineRule="exact"/>
              <w:jc w:val="center"/>
              <w:rPr>
                <w:rFonts w:hint="eastAsia" w:ascii="宋体" w:hAnsi="宋体" w:cs="宋体"/>
                <w:color w:val="auto"/>
                <w:sz w:val="24"/>
                <w:szCs w:val="24"/>
                <w:highlight w:val="none"/>
              </w:rPr>
            </w:pPr>
          </w:p>
        </w:tc>
      </w:tr>
      <w:tr w14:paraId="35FB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449" w:type="dxa"/>
            <w:tcBorders>
              <w:top w:val="single" w:color="auto" w:sz="4" w:space="0"/>
              <w:left w:val="single" w:color="auto" w:sz="4" w:space="0"/>
              <w:bottom w:val="single" w:color="auto" w:sz="4" w:space="0"/>
              <w:right w:val="single" w:color="auto" w:sz="4" w:space="0"/>
            </w:tcBorders>
            <w:vAlign w:val="center"/>
          </w:tcPr>
          <w:p w14:paraId="74B0F915">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注册资金</w:t>
            </w:r>
          </w:p>
        </w:tc>
        <w:tc>
          <w:tcPr>
            <w:tcW w:w="4071" w:type="dxa"/>
            <w:gridSpan w:val="2"/>
            <w:tcBorders>
              <w:top w:val="single" w:color="auto" w:sz="4" w:space="0"/>
              <w:left w:val="nil"/>
              <w:bottom w:val="single" w:color="auto" w:sz="4" w:space="0"/>
              <w:right w:val="single" w:color="auto" w:sz="4" w:space="0"/>
            </w:tcBorders>
            <w:vAlign w:val="center"/>
          </w:tcPr>
          <w:p w14:paraId="2A83472E">
            <w:pPr>
              <w:spacing w:line="440" w:lineRule="exact"/>
              <w:jc w:val="center"/>
              <w:rPr>
                <w:rFonts w:hint="eastAsia" w:ascii="宋体" w:hAnsi="宋体" w:cs="宋体"/>
                <w:color w:val="auto"/>
                <w:sz w:val="24"/>
                <w:szCs w:val="24"/>
                <w:highlight w:val="none"/>
              </w:rPr>
            </w:pPr>
          </w:p>
        </w:tc>
        <w:tc>
          <w:tcPr>
            <w:tcW w:w="1404" w:type="dxa"/>
            <w:tcBorders>
              <w:top w:val="single" w:color="auto" w:sz="4" w:space="0"/>
              <w:left w:val="nil"/>
              <w:bottom w:val="single" w:color="auto" w:sz="4" w:space="0"/>
              <w:right w:val="single" w:color="auto" w:sz="4" w:space="0"/>
            </w:tcBorders>
            <w:vAlign w:val="center"/>
          </w:tcPr>
          <w:p w14:paraId="76A69172">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成立时间</w:t>
            </w:r>
          </w:p>
        </w:tc>
        <w:tc>
          <w:tcPr>
            <w:tcW w:w="1982" w:type="dxa"/>
            <w:tcBorders>
              <w:top w:val="single" w:color="auto" w:sz="4" w:space="0"/>
              <w:left w:val="nil"/>
              <w:bottom w:val="single" w:color="auto" w:sz="4" w:space="0"/>
              <w:right w:val="single" w:color="auto" w:sz="4" w:space="0"/>
            </w:tcBorders>
            <w:vAlign w:val="center"/>
          </w:tcPr>
          <w:p w14:paraId="1D68B2B7">
            <w:pPr>
              <w:spacing w:line="440" w:lineRule="exact"/>
              <w:jc w:val="center"/>
              <w:rPr>
                <w:rFonts w:hint="eastAsia" w:ascii="宋体" w:hAnsi="宋体" w:cs="宋体"/>
                <w:color w:val="auto"/>
                <w:sz w:val="24"/>
                <w:szCs w:val="24"/>
                <w:highlight w:val="none"/>
              </w:rPr>
            </w:pPr>
          </w:p>
        </w:tc>
      </w:tr>
      <w:tr w14:paraId="0E8C8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449" w:type="dxa"/>
            <w:tcBorders>
              <w:top w:val="single" w:color="auto" w:sz="4" w:space="0"/>
              <w:left w:val="single" w:color="auto" w:sz="4" w:space="0"/>
              <w:bottom w:val="single" w:color="auto" w:sz="4" w:space="0"/>
              <w:right w:val="single" w:color="auto" w:sz="4" w:space="0"/>
            </w:tcBorders>
            <w:vAlign w:val="center"/>
          </w:tcPr>
          <w:p w14:paraId="33FE309A">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注册地址</w:t>
            </w:r>
          </w:p>
        </w:tc>
        <w:tc>
          <w:tcPr>
            <w:tcW w:w="7457" w:type="dxa"/>
            <w:gridSpan w:val="4"/>
            <w:tcBorders>
              <w:top w:val="single" w:color="auto" w:sz="4" w:space="0"/>
              <w:left w:val="nil"/>
              <w:bottom w:val="single" w:color="auto" w:sz="4" w:space="0"/>
              <w:right w:val="single" w:color="auto" w:sz="4" w:space="0"/>
            </w:tcBorders>
            <w:vAlign w:val="center"/>
          </w:tcPr>
          <w:p w14:paraId="1AAFCC7B">
            <w:pPr>
              <w:spacing w:line="440" w:lineRule="exact"/>
              <w:jc w:val="center"/>
              <w:rPr>
                <w:rFonts w:hint="eastAsia" w:ascii="宋体" w:hAnsi="宋体" w:cs="宋体"/>
                <w:color w:val="auto"/>
                <w:sz w:val="24"/>
                <w:szCs w:val="24"/>
                <w:highlight w:val="none"/>
              </w:rPr>
            </w:pPr>
          </w:p>
        </w:tc>
      </w:tr>
      <w:tr w14:paraId="6EE7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449" w:type="dxa"/>
            <w:tcBorders>
              <w:top w:val="single" w:color="auto" w:sz="4" w:space="0"/>
              <w:left w:val="single" w:color="auto" w:sz="4" w:space="0"/>
              <w:bottom w:val="single" w:color="auto" w:sz="4" w:space="0"/>
              <w:right w:val="single" w:color="auto" w:sz="4" w:space="0"/>
            </w:tcBorders>
            <w:vAlign w:val="center"/>
          </w:tcPr>
          <w:p w14:paraId="55104292">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邮政编码</w:t>
            </w:r>
          </w:p>
        </w:tc>
        <w:tc>
          <w:tcPr>
            <w:tcW w:w="4071" w:type="dxa"/>
            <w:gridSpan w:val="2"/>
            <w:tcBorders>
              <w:top w:val="single" w:color="auto" w:sz="4" w:space="0"/>
              <w:left w:val="nil"/>
              <w:bottom w:val="single" w:color="auto" w:sz="4" w:space="0"/>
              <w:right w:val="single" w:color="auto" w:sz="4" w:space="0"/>
            </w:tcBorders>
            <w:vAlign w:val="center"/>
          </w:tcPr>
          <w:p w14:paraId="3C6DE15E">
            <w:pPr>
              <w:spacing w:line="440" w:lineRule="exact"/>
              <w:jc w:val="center"/>
              <w:rPr>
                <w:rFonts w:hint="eastAsia" w:ascii="宋体" w:hAnsi="宋体" w:cs="宋体"/>
                <w:color w:val="auto"/>
                <w:sz w:val="24"/>
                <w:szCs w:val="24"/>
                <w:highlight w:val="none"/>
              </w:rPr>
            </w:pPr>
          </w:p>
        </w:tc>
        <w:tc>
          <w:tcPr>
            <w:tcW w:w="1404" w:type="dxa"/>
            <w:tcBorders>
              <w:top w:val="single" w:color="auto" w:sz="4" w:space="0"/>
              <w:left w:val="nil"/>
              <w:bottom w:val="single" w:color="auto" w:sz="4" w:space="0"/>
              <w:right w:val="single" w:color="auto" w:sz="4" w:space="0"/>
            </w:tcBorders>
            <w:vAlign w:val="center"/>
          </w:tcPr>
          <w:p w14:paraId="351613CC">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员工总数</w:t>
            </w:r>
          </w:p>
        </w:tc>
        <w:tc>
          <w:tcPr>
            <w:tcW w:w="1982" w:type="dxa"/>
            <w:tcBorders>
              <w:top w:val="single" w:color="auto" w:sz="4" w:space="0"/>
              <w:left w:val="nil"/>
              <w:bottom w:val="single" w:color="auto" w:sz="4" w:space="0"/>
              <w:right w:val="single" w:color="auto" w:sz="4" w:space="0"/>
            </w:tcBorders>
            <w:vAlign w:val="center"/>
          </w:tcPr>
          <w:p w14:paraId="73BEFC16">
            <w:pPr>
              <w:spacing w:line="440" w:lineRule="exact"/>
              <w:jc w:val="center"/>
              <w:rPr>
                <w:rFonts w:hint="eastAsia" w:ascii="宋体" w:hAnsi="宋体" w:cs="宋体"/>
                <w:color w:val="auto"/>
                <w:sz w:val="24"/>
                <w:szCs w:val="24"/>
                <w:highlight w:val="none"/>
              </w:rPr>
            </w:pPr>
          </w:p>
        </w:tc>
      </w:tr>
      <w:tr w14:paraId="3E04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449" w:type="dxa"/>
            <w:vMerge w:val="restart"/>
            <w:tcBorders>
              <w:top w:val="nil"/>
              <w:left w:val="single" w:color="auto" w:sz="4" w:space="0"/>
              <w:bottom w:val="single" w:color="auto" w:sz="4" w:space="0"/>
              <w:right w:val="single" w:color="auto" w:sz="4" w:space="0"/>
            </w:tcBorders>
            <w:vAlign w:val="center"/>
          </w:tcPr>
          <w:p w14:paraId="2DB551EC">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联系方式</w:t>
            </w:r>
          </w:p>
        </w:tc>
        <w:tc>
          <w:tcPr>
            <w:tcW w:w="1350" w:type="dxa"/>
            <w:tcBorders>
              <w:top w:val="single" w:color="auto" w:sz="4" w:space="0"/>
              <w:left w:val="nil"/>
              <w:bottom w:val="single" w:color="auto" w:sz="4" w:space="0"/>
              <w:right w:val="single" w:color="auto" w:sz="4" w:space="0"/>
            </w:tcBorders>
            <w:vAlign w:val="center"/>
          </w:tcPr>
          <w:p w14:paraId="4B83223D">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联系人</w:t>
            </w:r>
          </w:p>
        </w:tc>
        <w:tc>
          <w:tcPr>
            <w:tcW w:w="2721" w:type="dxa"/>
            <w:tcBorders>
              <w:top w:val="single" w:color="auto" w:sz="4" w:space="0"/>
              <w:left w:val="nil"/>
              <w:bottom w:val="single" w:color="auto" w:sz="4" w:space="0"/>
              <w:right w:val="single" w:color="auto" w:sz="4" w:space="0"/>
            </w:tcBorders>
            <w:vAlign w:val="center"/>
          </w:tcPr>
          <w:p w14:paraId="7A0DDB2C">
            <w:pPr>
              <w:spacing w:line="440" w:lineRule="exact"/>
              <w:jc w:val="center"/>
              <w:rPr>
                <w:rFonts w:hint="eastAsia" w:ascii="宋体" w:hAnsi="宋体" w:cs="宋体"/>
                <w:color w:val="auto"/>
                <w:sz w:val="24"/>
                <w:szCs w:val="24"/>
                <w:highlight w:val="none"/>
              </w:rPr>
            </w:pPr>
          </w:p>
        </w:tc>
        <w:tc>
          <w:tcPr>
            <w:tcW w:w="1404" w:type="dxa"/>
            <w:tcBorders>
              <w:top w:val="single" w:color="auto" w:sz="4" w:space="0"/>
              <w:left w:val="nil"/>
              <w:bottom w:val="single" w:color="auto" w:sz="4" w:space="0"/>
              <w:right w:val="single" w:color="auto" w:sz="4" w:space="0"/>
            </w:tcBorders>
            <w:vAlign w:val="center"/>
          </w:tcPr>
          <w:p w14:paraId="6FD19702">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电话</w:t>
            </w:r>
          </w:p>
        </w:tc>
        <w:tc>
          <w:tcPr>
            <w:tcW w:w="1982" w:type="dxa"/>
            <w:tcBorders>
              <w:top w:val="single" w:color="auto" w:sz="4" w:space="0"/>
              <w:left w:val="nil"/>
              <w:bottom w:val="single" w:color="auto" w:sz="4" w:space="0"/>
              <w:right w:val="single" w:color="auto" w:sz="4" w:space="0"/>
            </w:tcBorders>
            <w:vAlign w:val="center"/>
          </w:tcPr>
          <w:p w14:paraId="27204200">
            <w:pPr>
              <w:spacing w:line="440" w:lineRule="exact"/>
              <w:jc w:val="center"/>
              <w:rPr>
                <w:rFonts w:hint="eastAsia" w:ascii="宋体" w:hAnsi="宋体" w:cs="宋体"/>
                <w:color w:val="auto"/>
                <w:sz w:val="24"/>
                <w:szCs w:val="24"/>
                <w:highlight w:val="none"/>
              </w:rPr>
            </w:pPr>
          </w:p>
        </w:tc>
      </w:tr>
      <w:tr w14:paraId="4C1AD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2449" w:type="dxa"/>
            <w:vMerge w:val="continue"/>
            <w:tcBorders>
              <w:top w:val="nil"/>
              <w:left w:val="single" w:color="auto" w:sz="4" w:space="0"/>
              <w:bottom w:val="single" w:color="auto" w:sz="4" w:space="0"/>
              <w:right w:val="single" w:color="auto" w:sz="4" w:space="0"/>
            </w:tcBorders>
            <w:vAlign w:val="center"/>
          </w:tcPr>
          <w:p w14:paraId="43D59F2D">
            <w:pPr>
              <w:widowControl w:val="0"/>
              <w:jc w:val="both"/>
              <w:rPr>
                <w:rFonts w:hint="eastAsia" w:ascii="宋体" w:hAnsi="宋体" w:cs="宋体"/>
                <w:color w:val="auto"/>
                <w:kern w:val="2"/>
                <w:sz w:val="24"/>
                <w:szCs w:val="24"/>
                <w:highlight w:val="none"/>
              </w:rPr>
            </w:pPr>
          </w:p>
        </w:tc>
        <w:tc>
          <w:tcPr>
            <w:tcW w:w="1350" w:type="dxa"/>
            <w:tcBorders>
              <w:top w:val="single" w:color="auto" w:sz="4" w:space="0"/>
              <w:left w:val="nil"/>
              <w:bottom w:val="single" w:color="auto" w:sz="4" w:space="0"/>
              <w:right w:val="single" w:color="auto" w:sz="4" w:space="0"/>
            </w:tcBorders>
            <w:vAlign w:val="center"/>
          </w:tcPr>
          <w:p w14:paraId="7F62383B">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网址</w:t>
            </w:r>
          </w:p>
        </w:tc>
        <w:tc>
          <w:tcPr>
            <w:tcW w:w="2721" w:type="dxa"/>
            <w:tcBorders>
              <w:top w:val="single" w:color="auto" w:sz="4" w:space="0"/>
              <w:left w:val="nil"/>
              <w:bottom w:val="single" w:color="auto" w:sz="4" w:space="0"/>
              <w:right w:val="single" w:color="auto" w:sz="4" w:space="0"/>
            </w:tcBorders>
            <w:vAlign w:val="center"/>
          </w:tcPr>
          <w:p w14:paraId="75115A93">
            <w:pPr>
              <w:spacing w:line="440" w:lineRule="exact"/>
              <w:jc w:val="center"/>
              <w:rPr>
                <w:rFonts w:hint="eastAsia" w:ascii="宋体" w:hAnsi="宋体" w:cs="宋体"/>
                <w:color w:val="auto"/>
                <w:sz w:val="24"/>
                <w:szCs w:val="24"/>
                <w:highlight w:val="none"/>
              </w:rPr>
            </w:pPr>
          </w:p>
        </w:tc>
        <w:tc>
          <w:tcPr>
            <w:tcW w:w="1404" w:type="dxa"/>
            <w:tcBorders>
              <w:top w:val="single" w:color="auto" w:sz="4" w:space="0"/>
              <w:left w:val="nil"/>
              <w:bottom w:val="single" w:color="auto" w:sz="4" w:space="0"/>
              <w:right w:val="single" w:color="auto" w:sz="4" w:space="0"/>
            </w:tcBorders>
            <w:vAlign w:val="center"/>
          </w:tcPr>
          <w:p w14:paraId="54827276">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传真</w:t>
            </w:r>
          </w:p>
        </w:tc>
        <w:tc>
          <w:tcPr>
            <w:tcW w:w="1982" w:type="dxa"/>
            <w:tcBorders>
              <w:top w:val="single" w:color="auto" w:sz="4" w:space="0"/>
              <w:left w:val="nil"/>
              <w:bottom w:val="single" w:color="auto" w:sz="4" w:space="0"/>
              <w:right w:val="single" w:color="auto" w:sz="4" w:space="0"/>
            </w:tcBorders>
            <w:vAlign w:val="center"/>
          </w:tcPr>
          <w:p w14:paraId="4EF63382">
            <w:pPr>
              <w:spacing w:line="440" w:lineRule="exact"/>
              <w:jc w:val="center"/>
              <w:rPr>
                <w:rFonts w:hint="eastAsia" w:ascii="宋体" w:hAnsi="宋体" w:cs="宋体"/>
                <w:color w:val="auto"/>
                <w:sz w:val="24"/>
                <w:szCs w:val="24"/>
                <w:highlight w:val="none"/>
              </w:rPr>
            </w:pPr>
          </w:p>
        </w:tc>
      </w:tr>
      <w:tr w14:paraId="6C544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9" w:type="dxa"/>
            <w:tcBorders>
              <w:top w:val="single" w:color="auto" w:sz="4" w:space="0"/>
              <w:left w:val="single" w:color="auto" w:sz="4" w:space="0"/>
              <w:bottom w:val="single" w:color="auto" w:sz="4" w:space="0"/>
              <w:right w:val="single" w:color="auto" w:sz="4" w:space="0"/>
            </w:tcBorders>
            <w:vAlign w:val="center"/>
          </w:tcPr>
          <w:p w14:paraId="33945CCA">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w:t>
            </w:r>
          </w:p>
          <w:p w14:paraId="774D47D5">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(单位负责人)</w:t>
            </w:r>
          </w:p>
        </w:tc>
        <w:tc>
          <w:tcPr>
            <w:tcW w:w="1350" w:type="dxa"/>
            <w:tcBorders>
              <w:top w:val="single" w:color="auto" w:sz="4" w:space="0"/>
              <w:left w:val="nil"/>
              <w:bottom w:val="single" w:color="auto" w:sz="4" w:space="0"/>
              <w:right w:val="single" w:color="auto" w:sz="4" w:space="0"/>
            </w:tcBorders>
            <w:vAlign w:val="center"/>
          </w:tcPr>
          <w:p w14:paraId="73F9F1F5">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姓名</w:t>
            </w:r>
          </w:p>
        </w:tc>
        <w:tc>
          <w:tcPr>
            <w:tcW w:w="2721" w:type="dxa"/>
            <w:tcBorders>
              <w:top w:val="single" w:color="auto" w:sz="4" w:space="0"/>
              <w:left w:val="nil"/>
              <w:bottom w:val="single" w:color="auto" w:sz="4" w:space="0"/>
              <w:right w:val="single" w:color="auto" w:sz="4" w:space="0"/>
            </w:tcBorders>
            <w:vAlign w:val="center"/>
          </w:tcPr>
          <w:p w14:paraId="008AA3E8">
            <w:pPr>
              <w:spacing w:line="440" w:lineRule="exact"/>
              <w:jc w:val="center"/>
              <w:rPr>
                <w:rFonts w:hint="eastAsia" w:ascii="宋体" w:hAnsi="宋体" w:cs="宋体"/>
                <w:color w:val="auto"/>
                <w:sz w:val="24"/>
                <w:szCs w:val="24"/>
                <w:highlight w:val="none"/>
              </w:rPr>
            </w:pPr>
          </w:p>
        </w:tc>
        <w:tc>
          <w:tcPr>
            <w:tcW w:w="1404" w:type="dxa"/>
            <w:tcBorders>
              <w:top w:val="single" w:color="auto" w:sz="4" w:space="0"/>
              <w:left w:val="nil"/>
              <w:bottom w:val="single" w:color="auto" w:sz="4" w:space="0"/>
              <w:right w:val="single" w:color="auto" w:sz="4" w:space="0"/>
            </w:tcBorders>
            <w:vAlign w:val="center"/>
          </w:tcPr>
          <w:p w14:paraId="5D12A3FF">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电话</w:t>
            </w:r>
          </w:p>
        </w:tc>
        <w:tc>
          <w:tcPr>
            <w:tcW w:w="1982" w:type="dxa"/>
            <w:tcBorders>
              <w:top w:val="single" w:color="auto" w:sz="4" w:space="0"/>
              <w:left w:val="nil"/>
              <w:bottom w:val="single" w:color="auto" w:sz="4" w:space="0"/>
              <w:right w:val="single" w:color="auto" w:sz="4" w:space="0"/>
            </w:tcBorders>
            <w:vAlign w:val="center"/>
          </w:tcPr>
          <w:p w14:paraId="2CA8C2FE">
            <w:pPr>
              <w:spacing w:line="440" w:lineRule="exact"/>
              <w:jc w:val="center"/>
              <w:rPr>
                <w:rFonts w:hint="eastAsia" w:ascii="宋体" w:hAnsi="宋体" w:cs="宋体"/>
                <w:color w:val="auto"/>
                <w:sz w:val="24"/>
                <w:szCs w:val="24"/>
                <w:highlight w:val="none"/>
              </w:rPr>
            </w:pPr>
          </w:p>
        </w:tc>
      </w:tr>
      <w:tr w14:paraId="1FC9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2449" w:type="dxa"/>
            <w:tcBorders>
              <w:top w:val="single" w:color="auto" w:sz="4" w:space="0"/>
              <w:left w:val="single" w:color="auto" w:sz="4" w:space="0"/>
              <w:bottom w:val="single" w:color="auto" w:sz="4" w:space="0"/>
              <w:right w:val="single" w:color="auto" w:sz="4" w:space="0"/>
            </w:tcBorders>
            <w:vAlign w:val="center"/>
          </w:tcPr>
          <w:p w14:paraId="662DDEF3">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投标人须知要求投标人需具有的各类资质证书(若有)</w:t>
            </w:r>
          </w:p>
        </w:tc>
        <w:tc>
          <w:tcPr>
            <w:tcW w:w="7457" w:type="dxa"/>
            <w:gridSpan w:val="4"/>
            <w:tcBorders>
              <w:top w:val="single" w:color="auto" w:sz="4" w:space="0"/>
              <w:left w:val="nil"/>
              <w:bottom w:val="single" w:color="auto" w:sz="4" w:space="0"/>
              <w:right w:val="single" w:color="auto" w:sz="4" w:space="0"/>
            </w:tcBorders>
            <w:vAlign w:val="center"/>
          </w:tcPr>
          <w:p w14:paraId="775CAD38">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类型：                等级：                 证书号：</w:t>
            </w:r>
          </w:p>
        </w:tc>
      </w:tr>
      <w:tr w14:paraId="26F4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449" w:type="dxa"/>
            <w:tcBorders>
              <w:top w:val="single" w:color="auto" w:sz="4" w:space="0"/>
              <w:left w:val="single" w:color="auto" w:sz="4" w:space="0"/>
              <w:bottom w:val="single" w:color="auto" w:sz="4" w:space="0"/>
              <w:right w:val="single" w:color="auto" w:sz="4" w:space="0"/>
            </w:tcBorders>
            <w:vAlign w:val="center"/>
          </w:tcPr>
          <w:p w14:paraId="4288F48D">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基本账户开户银行</w:t>
            </w:r>
          </w:p>
        </w:tc>
        <w:tc>
          <w:tcPr>
            <w:tcW w:w="7457" w:type="dxa"/>
            <w:gridSpan w:val="4"/>
            <w:tcBorders>
              <w:top w:val="single" w:color="auto" w:sz="4" w:space="0"/>
              <w:left w:val="nil"/>
              <w:bottom w:val="single" w:color="auto" w:sz="4" w:space="0"/>
              <w:right w:val="single" w:color="auto" w:sz="4" w:space="0"/>
            </w:tcBorders>
            <w:vAlign w:val="center"/>
          </w:tcPr>
          <w:p w14:paraId="64ADD5ED">
            <w:pPr>
              <w:spacing w:line="440" w:lineRule="exact"/>
              <w:jc w:val="center"/>
              <w:rPr>
                <w:rFonts w:hint="eastAsia" w:ascii="宋体" w:hAnsi="宋体" w:cs="宋体"/>
                <w:color w:val="auto"/>
                <w:sz w:val="24"/>
                <w:szCs w:val="24"/>
                <w:highlight w:val="none"/>
              </w:rPr>
            </w:pPr>
          </w:p>
        </w:tc>
      </w:tr>
      <w:tr w14:paraId="50A2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49" w:type="dxa"/>
            <w:tcBorders>
              <w:top w:val="single" w:color="auto" w:sz="4" w:space="0"/>
              <w:left w:val="single" w:color="auto" w:sz="4" w:space="0"/>
              <w:bottom w:val="single" w:color="auto" w:sz="4" w:space="0"/>
              <w:right w:val="single" w:color="auto" w:sz="4" w:space="0"/>
            </w:tcBorders>
            <w:vAlign w:val="center"/>
          </w:tcPr>
          <w:p w14:paraId="135A7757">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基本账户银行账号</w:t>
            </w:r>
          </w:p>
        </w:tc>
        <w:tc>
          <w:tcPr>
            <w:tcW w:w="7457" w:type="dxa"/>
            <w:gridSpan w:val="4"/>
            <w:tcBorders>
              <w:top w:val="single" w:color="auto" w:sz="4" w:space="0"/>
              <w:left w:val="nil"/>
              <w:bottom w:val="single" w:color="auto" w:sz="4" w:space="0"/>
              <w:right w:val="single" w:color="auto" w:sz="4" w:space="0"/>
            </w:tcBorders>
            <w:vAlign w:val="center"/>
          </w:tcPr>
          <w:p w14:paraId="45DBF685">
            <w:pPr>
              <w:spacing w:line="440" w:lineRule="exact"/>
              <w:jc w:val="center"/>
              <w:rPr>
                <w:rFonts w:hint="eastAsia" w:ascii="宋体" w:hAnsi="宋体" w:cs="宋体"/>
                <w:color w:val="auto"/>
                <w:sz w:val="24"/>
                <w:szCs w:val="24"/>
                <w:highlight w:val="none"/>
              </w:rPr>
            </w:pPr>
          </w:p>
        </w:tc>
      </w:tr>
      <w:tr w14:paraId="6C09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1" w:hRule="atLeast"/>
          <w:jc w:val="center"/>
        </w:trPr>
        <w:tc>
          <w:tcPr>
            <w:tcW w:w="2449" w:type="dxa"/>
            <w:tcBorders>
              <w:top w:val="single" w:color="auto" w:sz="4" w:space="0"/>
              <w:left w:val="single" w:color="auto" w:sz="4" w:space="0"/>
              <w:bottom w:val="single" w:color="auto" w:sz="4" w:space="0"/>
              <w:right w:val="single" w:color="auto" w:sz="4" w:space="0"/>
            </w:tcBorders>
            <w:vAlign w:val="center"/>
          </w:tcPr>
          <w:p w14:paraId="19B0FCDA">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投标人关联企业情况(包括但不限于与投标人法定代表人(单位负责人)为同一人或者存在控股、管理关系的不同单位)</w:t>
            </w:r>
          </w:p>
        </w:tc>
        <w:tc>
          <w:tcPr>
            <w:tcW w:w="7457" w:type="dxa"/>
            <w:gridSpan w:val="4"/>
            <w:tcBorders>
              <w:top w:val="single" w:color="auto" w:sz="4" w:space="0"/>
              <w:left w:val="nil"/>
              <w:bottom w:val="single" w:color="auto" w:sz="4" w:space="0"/>
              <w:right w:val="single" w:color="auto" w:sz="4" w:space="0"/>
            </w:tcBorders>
            <w:vAlign w:val="center"/>
          </w:tcPr>
          <w:p w14:paraId="07288228">
            <w:pPr>
              <w:spacing w:line="440" w:lineRule="exact"/>
              <w:jc w:val="center"/>
              <w:rPr>
                <w:rFonts w:hint="eastAsia" w:ascii="宋体" w:hAnsi="宋体" w:cs="宋体"/>
                <w:color w:val="auto"/>
                <w:sz w:val="24"/>
                <w:szCs w:val="24"/>
                <w:highlight w:val="none"/>
              </w:rPr>
            </w:pPr>
          </w:p>
        </w:tc>
      </w:tr>
      <w:tr w14:paraId="401F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2449" w:type="dxa"/>
            <w:tcBorders>
              <w:top w:val="single" w:color="auto" w:sz="4" w:space="0"/>
              <w:left w:val="single" w:color="auto" w:sz="4" w:space="0"/>
              <w:bottom w:val="single" w:color="auto" w:sz="4" w:space="0"/>
              <w:right w:val="single" w:color="auto" w:sz="4" w:space="0"/>
            </w:tcBorders>
            <w:vAlign w:val="center"/>
          </w:tcPr>
          <w:p w14:paraId="6DDC3583">
            <w:pPr>
              <w:spacing w:line="44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备注</w:t>
            </w:r>
          </w:p>
        </w:tc>
        <w:tc>
          <w:tcPr>
            <w:tcW w:w="7457" w:type="dxa"/>
            <w:gridSpan w:val="4"/>
            <w:tcBorders>
              <w:top w:val="single" w:color="auto" w:sz="4" w:space="0"/>
              <w:left w:val="nil"/>
              <w:bottom w:val="single" w:color="auto" w:sz="4" w:space="0"/>
              <w:right w:val="single" w:color="auto" w:sz="4" w:space="0"/>
            </w:tcBorders>
            <w:vAlign w:val="center"/>
          </w:tcPr>
          <w:p w14:paraId="4521D56C">
            <w:pPr>
              <w:spacing w:line="440" w:lineRule="exact"/>
              <w:jc w:val="center"/>
              <w:rPr>
                <w:rFonts w:hint="eastAsia" w:ascii="宋体" w:hAnsi="宋体" w:cs="宋体"/>
                <w:color w:val="auto"/>
                <w:sz w:val="24"/>
                <w:szCs w:val="24"/>
                <w:highlight w:val="none"/>
              </w:rPr>
            </w:pPr>
          </w:p>
        </w:tc>
      </w:tr>
    </w:tbl>
    <w:p w14:paraId="3297302C">
      <w:pPr>
        <w:spacing w:line="240" w:lineRule="exact"/>
        <w:rPr>
          <w:rFonts w:hint="eastAsia" w:ascii="宋体" w:hAnsi="宋体" w:cs="宋体"/>
          <w:color w:val="auto"/>
          <w:sz w:val="24"/>
          <w:szCs w:val="24"/>
          <w:highlight w:val="none"/>
        </w:rPr>
      </w:pPr>
    </w:p>
    <w:p w14:paraId="42A68401">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注：投标人应根据招标文件要求在本表后附相关证明材料，如资质证书、开户许可证或基本存款账户信息等。</w:t>
      </w:r>
    </w:p>
    <w:p w14:paraId="7DDFE99F">
      <w:pPr>
        <w:rPr>
          <w:rFonts w:hint="eastAsia" w:ascii="宋体" w:hAnsi="宋体" w:cs="宋体"/>
          <w:color w:val="auto"/>
          <w:sz w:val="28"/>
          <w:szCs w:val="28"/>
          <w:highlight w:val="none"/>
        </w:rPr>
      </w:pPr>
      <w:r>
        <w:rPr>
          <w:rFonts w:hint="eastAsia" w:ascii="宋体" w:hAnsi="宋体" w:cs="宋体"/>
          <w:color w:val="auto"/>
          <w:sz w:val="28"/>
          <w:szCs w:val="28"/>
          <w:highlight w:val="none"/>
        </w:rPr>
        <w:br w:type="page"/>
      </w:r>
    </w:p>
    <w:p w14:paraId="6882923B">
      <w:pPr>
        <w:pStyle w:val="5"/>
        <w:jc w:val="center"/>
        <w:rPr>
          <w:rFonts w:hint="eastAsia" w:ascii="宋体" w:hAnsi="宋体" w:cs="宋体"/>
          <w:color w:val="auto"/>
          <w:sz w:val="28"/>
          <w:szCs w:val="28"/>
          <w:highlight w:val="none"/>
        </w:rPr>
      </w:pPr>
      <w:bookmarkStart w:id="264" w:name="_Toc10331"/>
      <w:r>
        <w:rPr>
          <w:rFonts w:hint="eastAsia" w:ascii="宋体" w:hAnsi="宋体" w:cs="宋体"/>
          <w:color w:val="auto"/>
          <w:sz w:val="28"/>
          <w:szCs w:val="28"/>
          <w:highlight w:val="none"/>
        </w:rPr>
        <w:t>六、投标保证金</w:t>
      </w:r>
      <w:bookmarkEnd w:id="261"/>
      <w:bookmarkEnd w:id="262"/>
      <w:bookmarkEnd w:id="264"/>
    </w:p>
    <w:p w14:paraId="1824AA0A">
      <w:pPr>
        <w:spacing w:before="120" w:after="120"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投标人提交的投标保证金应采用招标文件中规定的形式，并在此提供相应凭证。</w:t>
      </w:r>
    </w:p>
    <w:p w14:paraId="48CD3B5D">
      <w:pPr>
        <w:rPr>
          <w:rFonts w:hint="eastAsia" w:ascii="宋体" w:hAnsi="宋体" w:cs="宋体"/>
          <w:color w:val="auto"/>
          <w:sz w:val="28"/>
          <w:szCs w:val="28"/>
          <w:highlight w:val="none"/>
        </w:rPr>
      </w:pPr>
      <w:bookmarkStart w:id="265" w:name="_Toc25087"/>
      <w:r>
        <w:rPr>
          <w:rFonts w:hint="eastAsia" w:ascii="宋体" w:hAnsi="宋体" w:cs="宋体"/>
          <w:color w:val="auto"/>
          <w:sz w:val="28"/>
          <w:szCs w:val="28"/>
          <w:highlight w:val="none"/>
        </w:rPr>
        <w:br w:type="page"/>
      </w:r>
    </w:p>
    <w:p w14:paraId="19776B31">
      <w:pPr>
        <w:pStyle w:val="5"/>
        <w:widowControl/>
        <w:autoSpaceDE w:val="0"/>
        <w:spacing w:before="0" w:after="0" w:line="360" w:lineRule="auto"/>
        <w:jc w:val="center"/>
        <w:rPr>
          <w:rFonts w:hint="eastAsia" w:ascii="宋体" w:hAnsi="宋体" w:cs="宋体"/>
          <w:color w:val="auto"/>
          <w:sz w:val="28"/>
          <w:szCs w:val="28"/>
          <w:highlight w:val="none"/>
        </w:rPr>
      </w:pPr>
      <w:bookmarkStart w:id="266" w:name="_Toc14808"/>
      <w:r>
        <w:rPr>
          <w:rFonts w:hint="eastAsia" w:ascii="宋体" w:hAnsi="宋体" w:cs="宋体"/>
          <w:color w:val="auto"/>
          <w:sz w:val="28"/>
          <w:szCs w:val="28"/>
          <w:highlight w:val="none"/>
        </w:rPr>
        <w:t>七、商务条款偏离表</w:t>
      </w:r>
      <w:bookmarkEnd w:id="265"/>
      <w:bookmarkEnd w:id="266"/>
    </w:p>
    <w:tbl>
      <w:tblPr>
        <w:tblStyle w:val="33"/>
        <w:tblW w:w="9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2065"/>
        <w:gridCol w:w="2065"/>
        <w:gridCol w:w="2065"/>
        <w:gridCol w:w="1600"/>
        <w:gridCol w:w="1241"/>
      </w:tblGrid>
      <w:tr w14:paraId="49CA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3A59CFE5">
            <w:pPr>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序 号</w:t>
            </w:r>
          </w:p>
        </w:tc>
        <w:tc>
          <w:tcPr>
            <w:tcW w:w="2065" w:type="dxa"/>
            <w:tcBorders>
              <w:top w:val="single" w:color="auto" w:sz="4" w:space="0"/>
              <w:left w:val="nil"/>
              <w:bottom w:val="single" w:color="auto" w:sz="4" w:space="0"/>
              <w:right w:val="single" w:color="auto" w:sz="4" w:space="0"/>
            </w:tcBorders>
            <w:vAlign w:val="center"/>
          </w:tcPr>
          <w:p w14:paraId="3FEB0BD6">
            <w:pPr>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招标文件条款号</w:t>
            </w:r>
          </w:p>
        </w:tc>
        <w:tc>
          <w:tcPr>
            <w:tcW w:w="2065" w:type="dxa"/>
            <w:tcBorders>
              <w:top w:val="single" w:color="auto" w:sz="4" w:space="0"/>
              <w:left w:val="nil"/>
              <w:bottom w:val="single" w:color="auto" w:sz="4" w:space="0"/>
              <w:right w:val="single" w:color="auto" w:sz="4" w:space="0"/>
            </w:tcBorders>
            <w:vAlign w:val="center"/>
          </w:tcPr>
          <w:p w14:paraId="3D411A2A">
            <w:pPr>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招标文件的商务条款内容</w:t>
            </w:r>
          </w:p>
        </w:tc>
        <w:tc>
          <w:tcPr>
            <w:tcW w:w="2065" w:type="dxa"/>
            <w:tcBorders>
              <w:top w:val="single" w:color="auto" w:sz="4" w:space="0"/>
              <w:left w:val="nil"/>
              <w:bottom w:val="single" w:color="auto" w:sz="4" w:space="0"/>
              <w:right w:val="single" w:color="auto" w:sz="4" w:space="0"/>
            </w:tcBorders>
            <w:vAlign w:val="center"/>
          </w:tcPr>
          <w:p w14:paraId="199D080D">
            <w:pPr>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投标文件的商务条款响应情况</w:t>
            </w:r>
          </w:p>
        </w:tc>
        <w:tc>
          <w:tcPr>
            <w:tcW w:w="1600" w:type="dxa"/>
            <w:tcBorders>
              <w:top w:val="single" w:color="auto" w:sz="4" w:space="0"/>
              <w:left w:val="nil"/>
              <w:bottom w:val="single" w:color="auto" w:sz="4" w:space="0"/>
              <w:right w:val="single" w:color="auto" w:sz="4" w:space="0"/>
            </w:tcBorders>
            <w:vAlign w:val="center"/>
          </w:tcPr>
          <w:p w14:paraId="26B0FA3E">
            <w:pPr>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偏离情况</w:t>
            </w:r>
          </w:p>
        </w:tc>
        <w:tc>
          <w:tcPr>
            <w:tcW w:w="1241" w:type="dxa"/>
            <w:tcBorders>
              <w:top w:val="single" w:color="auto" w:sz="4" w:space="0"/>
              <w:left w:val="nil"/>
              <w:bottom w:val="single" w:color="auto" w:sz="4" w:space="0"/>
              <w:right w:val="single" w:color="auto" w:sz="4" w:space="0"/>
            </w:tcBorders>
            <w:vAlign w:val="center"/>
          </w:tcPr>
          <w:p w14:paraId="2C0B3FC3">
            <w:pPr>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说明</w:t>
            </w:r>
          </w:p>
        </w:tc>
      </w:tr>
      <w:tr w14:paraId="669E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094B99DB">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w:t>
            </w:r>
          </w:p>
        </w:tc>
        <w:tc>
          <w:tcPr>
            <w:tcW w:w="2065" w:type="dxa"/>
            <w:tcBorders>
              <w:top w:val="single" w:color="auto" w:sz="4" w:space="0"/>
              <w:left w:val="nil"/>
              <w:bottom w:val="single" w:color="auto" w:sz="4" w:space="0"/>
              <w:right w:val="single" w:color="auto" w:sz="4" w:space="0"/>
            </w:tcBorders>
            <w:vAlign w:val="center"/>
          </w:tcPr>
          <w:p w14:paraId="3C63E708">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“投标人须知前附表”第1.3.2款</w:t>
            </w:r>
          </w:p>
        </w:tc>
        <w:tc>
          <w:tcPr>
            <w:tcW w:w="2065" w:type="dxa"/>
            <w:tcBorders>
              <w:top w:val="single" w:color="auto" w:sz="4" w:space="0"/>
              <w:left w:val="nil"/>
              <w:bottom w:val="single" w:color="auto" w:sz="4" w:space="0"/>
              <w:right w:val="single" w:color="auto" w:sz="4" w:space="0"/>
            </w:tcBorders>
            <w:vAlign w:val="center"/>
          </w:tcPr>
          <w:p w14:paraId="05E16365">
            <w:pPr>
              <w:jc w:val="left"/>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合同履行期限：三年，合同一年一签，采购人按照医院内部评价机制，评价合格即可签订下一年度合同。评价不合格采购人有权不签订下一年度合同，重新招标。</w:t>
            </w:r>
          </w:p>
        </w:tc>
        <w:tc>
          <w:tcPr>
            <w:tcW w:w="2065" w:type="dxa"/>
            <w:tcBorders>
              <w:top w:val="single" w:color="auto" w:sz="4" w:space="0"/>
              <w:left w:val="nil"/>
              <w:bottom w:val="single" w:color="auto" w:sz="4" w:space="0"/>
              <w:right w:val="single" w:color="auto" w:sz="4" w:space="0"/>
            </w:tcBorders>
            <w:vAlign w:val="center"/>
          </w:tcPr>
          <w:p w14:paraId="5022FCFC">
            <w:pPr>
              <w:jc w:val="center"/>
              <w:rPr>
                <w:rFonts w:hint="eastAsia" w:ascii="宋体" w:hAnsi="宋体" w:cs="宋体"/>
                <w:color w:val="auto"/>
                <w:sz w:val="24"/>
                <w:szCs w:val="24"/>
                <w:highlight w:val="none"/>
              </w:rPr>
            </w:pPr>
          </w:p>
        </w:tc>
        <w:tc>
          <w:tcPr>
            <w:tcW w:w="1600" w:type="dxa"/>
            <w:tcBorders>
              <w:top w:val="single" w:color="auto" w:sz="4" w:space="0"/>
              <w:left w:val="nil"/>
              <w:bottom w:val="single" w:color="auto" w:sz="4" w:space="0"/>
              <w:right w:val="single" w:color="auto" w:sz="4" w:space="0"/>
            </w:tcBorders>
            <w:vAlign w:val="center"/>
          </w:tcPr>
          <w:p w14:paraId="0B9123E5">
            <w:pPr>
              <w:jc w:val="center"/>
              <w:rPr>
                <w:rFonts w:hint="eastAsia" w:ascii="宋体" w:hAnsi="宋体" w:cs="宋体"/>
                <w:color w:val="auto"/>
                <w:sz w:val="24"/>
                <w:szCs w:val="24"/>
                <w:highlight w:val="none"/>
              </w:rPr>
            </w:pPr>
          </w:p>
        </w:tc>
        <w:tc>
          <w:tcPr>
            <w:tcW w:w="1241" w:type="dxa"/>
            <w:tcBorders>
              <w:top w:val="single" w:color="auto" w:sz="4" w:space="0"/>
              <w:left w:val="nil"/>
              <w:bottom w:val="single" w:color="auto" w:sz="4" w:space="0"/>
              <w:right w:val="single" w:color="auto" w:sz="4" w:space="0"/>
            </w:tcBorders>
            <w:vAlign w:val="center"/>
          </w:tcPr>
          <w:p w14:paraId="132A2B6F">
            <w:pPr>
              <w:jc w:val="center"/>
              <w:rPr>
                <w:rFonts w:hint="eastAsia" w:ascii="宋体" w:hAnsi="宋体" w:cs="宋体"/>
                <w:color w:val="auto"/>
                <w:sz w:val="24"/>
                <w:szCs w:val="24"/>
                <w:highlight w:val="none"/>
              </w:rPr>
            </w:pPr>
          </w:p>
        </w:tc>
      </w:tr>
      <w:tr w14:paraId="1C0A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06507E74">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2</w:t>
            </w:r>
          </w:p>
        </w:tc>
        <w:tc>
          <w:tcPr>
            <w:tcW w:w="2065" w:type="dxa"/>
            <w:tcBorders>
              <w:top w:val="single" w:color="auto" w:sz="4" w:space="0"/>
              <w:left w:val="nil"/>
              <w:bottom w:val="single" w:color="auto" w:sz="4" w:space="0"/>
              <w:right w:val="single" w:color="auto" w:sz="4" w:space="0"/>
            </w:tcBorders>
            <w:vAlign w:val="center"/>
          </w:tcPr>
          <w:p w14:paraId="48A0BF44">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“投标人须知前附表”第1.3.3款</w:t>
            </w:r>
          </w:p>
        </w:tc>
        <w:tc>
          <w:tcPr>
            <w:tcW w:w="2065" w:type="dxa"/>
            <w:tcBorders>
              <w:top w:val="single" w:color="auto" w:sz="4" w:space="0"/>
              <w:left w:val="nil"/>
              <w:bottom w:val="single" w:color="auto" w:sz="4" w:space="0"/>
              <w:right w:val="single" w:color="auto" w:sz="4" w:space="0"/>
            </w:tcBorders>
            <w:vAlign w:val="center"/>
          </w:tcPr>
          <w:p w14:paraId="522916FD">
            <w:pPr>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服务地点：云南省怒江州六库镇（招标人指定地点）。</w:t>
            </w:r>
          </w:p>
        </w:tc>
        <w:tc>
          <w:tcPr>
            <w:tcW w:w="2065" w:type="dxa"/>
            <w:tcBorders>
              <w:top w:val="single" w:color="auto" w:sz="4" w:space="0"/>
              <w:left w:val="nil"/>
              <w:bottom w:val="single" w:color="auto" w:sz="4" w:space="0"/>
              <w:right w:val="single" w:color="auto" w:sz="4" w:space="0"/>
            </w:tcBorders>
            <w:vAlign w:val="center"/>
          </w:tcPr>
          <w:p w14:paraId="5BF2E027">
            <w:pPr>
              <w:jc w:val="center"/>
              <w:rPr>
                <w:rFonts w:hint="eastAsia" w:ascii="宋体" w:hAnsi="宋体" w:cs="宋体"/>
                <w:color w:val="auto"/>
                <w:sz w:val="24"/>
                <w:szCs w:val="24"/>
                <w:highlight w:val="none"/>
              </w:rPr>
            </w:pPr>
          </w:p>
        </w:tc>
        <w:tc>
          <w:tcPr>
            <w:tcW w:w="1600" w:type="dxa"/>
            <w:tcBorders>
              <w:top w:val="single" w:color="auto" w:sz="4" w:space="0"/>
              <w:left w:val="nil"/>
              <w:bottom w:val="single" w:color="auto" w:sz="4" w:space="0"/>
              <w:right w:val="single" w:color="auto" w:sz="4" w:space="0"/>
            </w:tcBorders>
            <w:vAlign w:val="center"/>
          </w:tcPr>
          <w:p w14:paraId="176B30E4">
            <w:pPr>
              <w:jc w:val="center"/>
              <w:rPr>
                <w:rFonts w:hint="eastAsia" w:ascii="宋体" w:hAnsi="宋体" w:cs="宋体"/>
                <w:color w:val="auto"/>
                <w:sz w:val="24"/>
                <w:szCs w:val="24"/>
                <w:highlight w:val="none"/>
              </w:rPr>
            </w:pPr>
          </w:p>
        </w:tc>
        <w:tc>
          <w:tcPr>
            <w:tcW w:w="1241" w:type="dxa"/>
            <w:tcBorders>
              <w:top w:val="single" w:color="auto" w:sz="4" w:space="0"/>
              <w:left w:val="nil"/>
              <w:bottom w:val="single" w:color="auto" w:sz="4" w:space="0"/>
              <w:right w:val="single" w:color="auto" w:sz="4" w:space="0"/>
            </w:tcBorders>
            <w:vAlign w:val="center"/>
          </w:tcPr>
          <w:p w14:paraId="471DF1CF">
            <w:pPr>
              <w:jc w:val="center"/>
              <w:rPr>
                <w:rFonts w:hint="eastAsia" w:ascii="宋体" w:hAnsi="宋体" w:cs="宋体"/>
                <w:color w:val="auto"/>
                <w:sz w:val="24"/>
                <w:szCs w:val="24"/>
                <w:highlight w:val="none"/>
              </w:rPr>
            </w:pPr>
          </w:p>
        </w:tc>
      </w:tr>
      <w:tr w14:paraId="3CCE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3CBEA995">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3</w:t>
            </w:r>
          </w:p>
        </w:tc>
        <w:tc>
          <w:tcPr>
            <w:tcW w:w="2065" w:type="dxa"/>
            <w:tcBorders>
              <w:top w:val="single" w:color="auto" w:sz="4" w:space="0"/>
              <w:left w:val="nil"/>
              <w:bottom w:val="single" w:color="auto" w:sz="4" w:space="0"/>
              <w:right w:val="single" w:color="auto" w:sz="4" w:space="0"/>
            </w:tcBorders>
            <w:vAlign w:val="center"/>
          </w:tcPr>
          <w:p w14:paraId="3604213C">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“投标人须知前附表”第1.3.3款</w:t>
            </w:r>
          </w:p>
        </w:tc>
        <w:tc>
          <w:tcPr>
            <w:tcW w:w="2065" w:type="dxa"/>
            <w:tcBorders>
              <w:top w:val="single" w:color="auto" w:sz="4" w:space="0"/>
              <w:left w:val="nil"/>
              <w:bottom w:val="single" w:color="auto" w:sz="4" w:space="0"/>
              <w:right w:val="single" w:color="auto" w:sz="4" w:space="0"/>
            </w:tcBorders>
            <w:vAlign w:val="center"/>
          </w:tcPr>
          <w:p w14:paraId="1D0A6DDD">
            <w:pPr>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服务方式：现场服务</w:t>
            </w:r>
          </w:p>
        </w:tc>
        <w:tc>
          <w:tcPr>
            <w:tcW w:w="2065" w:type="dxa"/>
            <w:tcBorders>
              <w:top w:val="single" w:color="auto" w:sz="4" w:space="0"/>
              <w:left w:val="nil"/>
              <w:bottom w:val="single" w:color="auto" w:sz="4" w:space="0"/>
              <w:right w:val="single" w:color="auto" w:sz="4" w:space="0"/>
            </w:tcBorders>
            <w:vAlign w:val="center"/>
          </w:tcPr>
          <w:p w14:paraId="0B0DDE6C">
            <w:pPr>
              <w:jc w:val="center"/>
              <w:rPr>
                <w:rFonts w:hint="eastAsia" w:ascii="宋体" w:hAnsi="宋体" w:cs="宋体"/>
                <w:color w:val="auto"/>
                <w:sz w:val="24"/>
                <w:szCs w:val="24"/>
                <w:highlight w:val="none"/>
              </w:rPr>
            </w:pPr>
          </w:p>
        </w:tc>
        <w:tc>
          <w:tcPr>
            <w:tcW w:w="1600" w:type="dxa"/>
            <w:tcBorders>
              <w:top w:val="single" w:color="auto" w:sz="4" w:space="0"/>
              <w:left w:val="nil"/>
              <w:bottom w:val="single" w:color="auto" w:sz="4" w:space="0"/>
              <w:right w:val="single" w:color="auto" w:sz="4" w:space="0"/>
            </w:tcBorders>
            <w:vAlign w:val="center"/>
          </w:tcPr>
          <w:p w14:paraId="2577F2F4">
            <w:pPr>
              <w:jc w:val="center"/>
              <w:rPr>
                <w:rFonts w:hint="eastAsia" w:ascii="宋体" w:hAnsi="宋体" w:cs="宋体"/>
                <w:color w:val="auto"/>
                <w:sz w:val="24"/>
                <w:szCs w:val="24"/>
                <w:highlight w:val="none"/>
              </w:rPr>
            </w:pPr>
          </w:p>
        </w:tc>
        <w:tc>
          <w:tcPr>
            <w:tcW w:w="1241" w:type="dxa"/>
            <w:tcBorders>
              <w:top w:val="single" w:color="auto" w:sz="4" w:space="0"/>
              <w:left w:val="nil"/>
              <w:bottom w:val="single" w:color="auto" w:sz="4" w:space="0"/>
              <w:right w:val="single" w:color="auto" w:sz="4" w:space="0"/>
            </w:tcBorders>
            <w:vAlign w:val="center"/>
          </w:tcPr>
          <w:p w14:paraId="7623F395">
            <w:pPr>
              <w:jc w:val="center"/>
              <w:rPr>
                <w:rFonts w:hint="eastAsia" w:ascii="宋体" w:hAnsi="宋体" w:cs="宋体"/>
                <w:color w:val="auto"/>
                <w:sz w:val="24"/>
                <w:szCs w:val="24"/>
                <w:highlight w:val="none"/>
              </w:rPr>
            </w:pPr>
          </w:p>
        </w:tc>
      </w:tr>
      <w:tr w14:paraId="3949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62FA7A4B">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4</w:t>
            </w:r>
          </w:p>
        </w:tc>
        <w:tc>
          <w:tcPr>
            <w:tcW w:w="2065" w:type="dxa"/>
            <w:tcBorders>
              <w:top w:val="single" w:color="auto" w:sz="4" w:space="0"/>
              <w:left w:val="nil"/>
              <w:bottom w:val="single" w:color="auto" w:sz="4" w:space="0"/>
              <w:right w:val="single" w:color="auto" w:sz="4" w:space="0"/>
            </w:tcBorders>
            <w:vAlign w:val="center"/>
          </w:tcPr>
          <w:p w14:paraId="1D4FD8C7">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“投标人须知前附表”第3.3.1款</w:t>
            </w:r>
          </w:p>
        </w:tc>
        <w:tc>
          <w:tcPr>
            <w:tcW w:w="2065" w:type="dxa"/>
            <w:tcBorders>
              <w:top w:val="single" w:color="auto" w:sz="4" w:space="0"/>
              <w:left w:val="nil"/>
              <w:bottom w:val="single" w:color="auto" w:sz="4" w:space="0"/>
              <w:right w:val="single" w:color="auto" w:sz="4" w:space="0"/>
            </w:tcBorders>
            <w:vAlign w:val="center"/>
          </w:tcPr>
          <w:p w14:paraId="158E3F82">
            <w:pPr>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投标有效期：投标有效期为90日历天(从投标截止之日算起)。</w:t>
            </w:r>
          </w:p>
        </w:tc>
        <w:tc>
          <w:tcPr>
            <w:tcW w:w="2065" w:type="dxa"/>
            <w:tcBorders>
              <w:top w:val="single" w:color="auto" w:sz="4" w:space="0"/>
              <w:left w:val="nil"/>
              <w:bottom w:val="single" w:color="auto" w:sz="4" w:space="0"/>
              <w:right w:val="single" w:color="auto" w:sz="4" w:space="0"/>
            </w:tcBorders>
            <w:vAlign w:val="center"/>
          </w:tcPr>
          <w:p w14:paraId="0178721C">
            <w:pPr>
              <w:jc w:val="center"/>
              <w:rPr>
                <w:rFonts w:hint="eastAsia" w:ascii="宋体" w:hAnsi="宋体" w:cs="宋体"/>
                <w:color w:val="auto"/>
                <w:sz w:val="24"/>
                <w:szCs w:val="24"/>
                <w:highlight w:val="none"/>
              </w:rPr>
            </w:pPr>
          </w:p>
        </w:tc>
        <w:tc>
          <w:tcPr>
            <w:tcW w:w="1600" w:type="dxa"/>
            <w:tcBorders>
              <w:top w:val="single" w:color="auto" w:sz="4" w:space="0"/>
              <w:left w:val="nil"/>
              <w:bottom w:val="single" w:color="auto" w:sz="4" w:space="0"/>
              <w:right w:val="single" w:color="auto" w:sz="4" w:space="0"/>
            </w:tcBorders>
            <w:vAlign w:val="center"/>
          </w:tcPr>
          <w:p w14:paraId="29CC1845">
            <w:pPr>
              <w:jc w:val="center"/>
              <w:rPr>
                <w:rFonts w:hint="eastAsia" w:ascii="宋体" w:hAnsi="宋体" w:cs="宋体"/>
                <w:color w:val="auto"/>
                <w:sz w:val="24"/>
                <w:szCs w:val="24"/>
                <w:highlight w:val="none"/>
              </w:rPr>
            </w:pPr>
          </w:p>
        </w:tc>
        <w:tc>
          <w:tcPr>
            <w:tcW w:w="1241" w:type="dxa"/>
            <w:tcBorders>
              <w:top w:val="single" w:color="auto" w:sz="4" w:space="0"/>
              <w:left w:val="nil"/>
              <w:bottom w:val="single" w:color="auto" w:sz="4" w:space="0"/>
              <w:right w:val="single" w:color="auto" w:sz="4" w:space="0"/>
            </w:tcBorders>
            <w:vAlign w:val="center"/>
          </w:tcPr>
          <w:p w14:paraId="37FC4820">
            <w:pPr>
              <w:jc w:val="center"/>
              <w:rPr>
                <w:rFonts w:hint="eastAsia" w:ascii="宋体" w:hAnsi="宋体" w:cs="宋体"/>
                <w:color w:val="auto"/>
                <w:sz w:val="24"/>
                <w:szCs w:val="24"/>
                <w:highlight w:val="none"/>
              </w:rPr>
            </w:pPr>
          </w:p>
        </w:tc>
      </w:tr>
    </w:tbl>
    <w:p w14:paraId="217C9BBF">
      <w:pPr>
        <w:rPr>
          <w:rFonts w:hint="eastAsia" w:ascii="宋体" w:hAnsi="宋体" w:cs="宋体"/>
          <w:color w:val="auto"/>
          <w:sz w:val="24"/>
          <w:szCs w:val="24"/>
          <w:highlight w:val="none"/>
        </w:rPr>
      </w:pPr>
      <w:r>
        <w:rPr>
          <w:rFonts w:ascii="宋体" w:hAnsi="宋体" w:cs="宋体"/>
          <w:color w:val="auto"/>
          <w:sz w:val="24"/>
          <w:szCs w:val="24"/>
          <w:highlight w:val="none"/>
        </w:rPr>
        <w:br w:type="page"/>
      </w:r>
    </w:p>
    <w:p w14:paraId="4E6ABD11">
      <w:pPr>
        <w:spacing w:line="360" w:lineRule="auto"/>
        <w:ind w:firstLine="560" w:firstLineChars="200"/>
        <w:rPr>
          <w:rFonts w:ascii="宋体" w:hAnsi="宋体" w:cs="宋体"/>
          <w:color w:val="auto"/>
          <w:sz w:val="28"/>
          <w:szCs w:val="28"/>
          <w:highlight w:val="none"/>
        </w:rPr>
      </w:pPr>
    </w:p>
    <w:p w14:paraId="6D73C610">
      <w:pPr>
        <w:keepNext/>
        <w:keepLines/>
        <w:autoSpaceDE w:val="0"/>
        <w:jc w:val="center"/>
        <w:outlineLvl w:val="2"/>
        <w:rPr>
          <w:rFonts w:hint="eastAsia" w:ascii="宋体" w:hAnsi="宋体" w:cs="宋体"/>
          <w:b/>
          <w:bCs/>
          <w:color w:val="auto"/>
          <w:kern w:val="2"/>
          <w:sz w:val="32"/>
          <w:szCs w:val="32"/>
          <w:highlight w:val="none"/>
        </w:rPr>
      </w:pPr>
      <w:bookmarkStart w:id="267" w:name="_Toc21822"/>
      <w:bookmarkStart w:id="268" w:name="_Toc3415"/>
      <w:r>
        <w:rPr>
          <w:rFonts w:hint="eastAsia" w:ascii="宋体" w:hAnsi="宋体" w:cs="宋体"/>
          <w:b/>
          <w:bCs/>
          <w:color w:val="auto"/>
          <w:kern w:val="2"/>
          <w:sz w:val="32"/>
          <w:szCs w:val="28"/>
          <w:highlight w:val="none"/>
        </w:rPr>
        <w:t>八、分项报价表</w:t>
      </w:r>
      <w:bookmarkEnd w:id="267"/>
      <w:bookmarkEnd w:id="268"/>
    </w:p>
    <w:tbl>
      <w:tblPr>
        <w:tblStyle w:val="3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1239"/>
        <w:gridCol w:w="1191"/>
        <w:gridCol w:w="1075"/>
        <w:gridCol w:w="1408"/>
        <w:gridCol w:w="863"/>
        <w:gridCol w:w="1287"/>
        <w:gridCol w:w="1208"/>
        <w:gridCol w:w="780"/>
      </w:tblGrid>
      <w:tr w14:paraId="4A15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296" w:type="pct"/>
            <w:vAlign w:val="center"/>
          </w:tcPr>
          <w:p w14:paraId="70BB22F5">
            <w:pPr>
              <w:spacing w:line="400" w:lineRule="atLeast"/>
              <w:rPr>
                <w:rFonts w:hint="eastAsia" w:ascii="宋体" w:hAnsi="宋体" w:cs="宋体"/>
                <w:color w:val="auto"/>
                <w:sz w:val="24"/>
                <w:highlight w:val="none"/>
              </w:rPr>
            </w:pPr>
            <w:r>
              <w:rPr>
                <w:rFonts w:hint="eastAsia" w:ascii="宋体" w:hAnsi="宋体" w:cs="宋体"/>
                <w:color w:val="auto"/>
                <w:sz w:val="24"/>
                <w:highlight w:val="none"/>
              </w:rPr>
              <w:t>序号</w:t>
            </w:r>
          </w:p>
        </w:tc>
        <w:tc>
          <w:tcPr>
            <w:tcW w:w="643" w:type="pct"/>
            <w:vAlign w:val="center"/>
          </w:tcPr>
          <w:p w14:paraId="33623E15">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名称</w:t>
            </w:r>
          </w:p>
        </w:tc>
        <w:tc>
          <w:tcPr>
            <w:tcW w:w="618" w:type="pct"/>
            <w:vAlign w:val="center"/>
          </w:tcPr>
          <w:p w14:paraId="0E91BE17">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型号和规格</w:t>
            </w:r>
          </w:p>
        </w:tc>
        <w:tc>
          <w:tcPr>
            <w:tcW w:w="558" w:type="pct"/>
            <w:vAlign w:val="center"/>
          </w:tcPr>
          <w:p w14:paraId="51217C74">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单位</w:t>
            </w:r>
          </w:p>
        </w:tc>
        <w:tc>
          <w:tcPr>
            <w:tcW w:w="731" w:type="pct"/>
            <w:vAlign w:val="center"/>
          </w:tcPr>
          <w:p w14:paraId="798D509D">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原产地和制造商名称</w:t>
            </w:r>
          </w:p>
        </w:tc>
        <w:tc>
          <w:tcPr>
            <w:tcW w:w="448" w:type="pct"/>
            <w:vAlign w:val="center"/>
          </w:tcPr>
          <w:p w14:paraId="2979FC94">
            <w:pPr>
              <w:spacing w:line="400" w:lineRule="atLeas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品牌</w:t>
            </w:r>
          </w:p>
        </w:tc>
        <w:tc>
          <w:tcPr>
            <w:tcW w:w="668" w:type="pct"/>
            <w:vAlign w:val="center"/>
          </w:tcPr>
          <w:p w14:paraId="2EA0C5E0">
            <w:pPr>
              <w:spacing w:line="400" w:lineRule="atLeast"/>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是否在阳光平台</w:t>
            </w:r>
          </w:p>
        </w:tc>
        <w:tc>
          <w:tcPr>
            <w:tcW w:w="627" w:type="pct"/>
            <w:vAlign w:val="center"/>
          </w:tcPr>
          <w:p w14:paraId="097609CF">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lang w:val="en-US" w:eastAsia="zh-CN"/>
              </w:rPr>
              <w:t>下浮率</w:t>
            </w:r>
            <w:r>
              <w:rPr>
                <w:rFonts w:hint="eastAsia" w:ascii="宋体" w:hAnsi="宋体" w:cs="宋体"/>
                <w:color w:val="auto"/>
                <w:sz w:val="24"/>
                <w:highlight w:val="none"/>
              </w:rPr>
              <w:t>%</w:t>
            </w:r>
          </w:p>
        </w:tc>
        <w:tc>
          <w:tcPr>
            <w:tcW w:w="405" w:type="pct"/>
            <w:vAlign w:val="center"/>
          </w:tcPr>
          <w:p w14:paraId="4AA410B8">
            <w:pPr>
              <w:spacing w:line="400" w:lineRule="atLeast"/>
              <w:jc w:val="center"/>
              <w:rPr>
                <w:rFonts w:hint="eastAsia" w:ascii="宋体" w:hAnsi="宋体" w:cs="宋体"/>
                <w:color w:val="auto"/>
                <w:highlight w:val="none"/>
              </w:rPr>
            </w:pPr>
            <w:r>
              <w:rPr>
                <w:rFonts w:hint="eastAsia" w:ascii="宋体" w:hAnsi="宋体" w:cs="宋体"/>
                <w:color w:val="auto"/>
                <w:sz w:val="24"/>
                <w:highlight w:val="none"/>
              </w:rPr>
              <w:t>单价(元)</w:t>
            </w:r>
          </w:p>
        </w:tc>
      </w:tr>
      <w:tr w14:paraId="6F85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96" w:type="pct"/>
            <w:vAlign w:val="center"/>
          </w:tcPr>
          <w:p w14:paraId="5A753307">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643" w:type="pct"/>
            <w:vAlign w:val="center"/>
          </w:tcPr>
          <w:p w14:paraId="3D438993">
            <w:pPr>
              <w:spacing w:line="400" w:lineRule="atLeast"/>
              <w:rPr>
                <w:rFonts w:hint="eastAsia" w:ascii="宋体" w:hAnsi="宋体" w:cs="宋体"/>
                <w:color w:val="auto"/>
                <w:sz w:val="24"/>
                <w:highlight w:val="none"/>
              </w:rPr>
            </w:pPr>
          </w:p>
        </w:tc>
        <w:tc>
          <w:tcPr>
            <w:tcW w:w="618" w:type="pct"/>
            <w:vAlign w:val="center"/>
          </w:tcPr>
          <w:p w14:paraId="273DFA04">
            <w:pPr>
              <w:spacing w:line="400" w:lineRule="atLeast"/>
              <w:rPr>
                <w:rFonts w:hint="eastAsia" w:ascii="宋体" w:hAnsi="宋体" w:cs="宋体"/>
                <w:color w:val="auto"/>
                <w:sz w:val="24"/>
                <w:highlight w:val="none"/>
              </w:rPr>
            </w:pPr>
          </w:p>
        </w:tc>
        <w:tc>
          <w:tcPr>
            <w:tcW w:w="558" w:type="pct"/>
            <w:vAlign w:val="center"/>
          </w:tcPr>
          <w:p w14:paraId="122072A7">
            <w:pPr>
              <w:spacing w:line="400" w:lineRule="atLeast"/>
              <w:rPr>
                <w:rFonts w:hint="eastAsia" w:ascii="宋体" w:hAnsi="宋体" w:cs="宋体"/>
                <w:color w:val="auto"/>
                <w:sz w:val="24"/>
                <w:highlight w:val="none"/>
              </w:rPr>
            </w:pPr>
          </w:p>
        </w:tc>
        <w:tc>
          <w:tcPr>
            <w:tcW w:w="731" w:type="pct"/>
            <w:vAlign w:val="center"/>
          </w:tcPr>
          <w:p w14:paraId="790F2563">
            <w:pPr>
              <w:spacing w:line="400" w:lineRule="atLeast"/>
              <w:rPr>
                <w:rFonts w:hint="eastAsia" w:ascii="宋体" w:hAnsi="宋体" w:cs="宋体"/>
                <w:color w:val="auto"/>
                <w:sz w:val="24"/>
                <w:highlight w:val="none"/>
              </w:rPr>
            </w:pPr>
          </w:p>
        </w:tc>
        <w:tc>
          <w:tcPr>
            <w:tcW w:w="448" w:type="pct"/>
          </w:tcPr>
          <w:p w14:paraId="79EA5BBD">
            <w:pPr>
              <w:spacing w:line="400" w:lineRule="atLeast"/>
              <w:rPr>
                <w:rFonts w:hint="eastAsia" w:ascii="宋体" w:hAnsi="宋体" w:cs="宋体"/>
                <w:color w:val="auto"/>
                <w:sz w:val="24"/>
                <w:highlight w:val="none"/>
              </w:rPr>
            </w:pPr>
          </w:p>
        </w:tc>
        <w:tc>
          <w:tcPr>
            <w:tcW w:w="668" w:type="pct"/>
          </w:tcPr>
          <w:p w14:paraId="03832832">
            <w:pPr>
              <w:spacing w:line="400" w:lineRule="atLeast"/>
              <w:rPr>
                <w:rFonts w:hint="eastAsia" w:ascii="宋体" w:hAnsi="宋体" w:cs="宋体"/>
                <w:color w:val="auto"/>
                <w:sz w:val="24"/>
                <w:highlight w:val="none"/>
              </w:rPr>
            </w:pPr>
          </w:p>
        </w:tc>
        <w:tc>
          <w:tcPr>
            <w:tcW w:w="627" w:type="pct"/>
            <w:vAlign w:val="center"/>
          </w:tcPr>
          <w:p w14:paraId="4CAD52EF">
            <w:pPr>
              <w:spacing w:line="400" w:lineRule="atLeast"/>
              <w:rPr>
                <w:rFonts w:hint="eastAsia" w:ascii="宋体" w:hAnsi="宋体" w:cs="宋体"/>
                <w:color w:val="auto"/>
                <w:sz w:val="24"/>
                <w:highlight w:val="none"/>
              </w:rPr>
            </w:pPr>
          </w:p>
        </w:tc>
        <w:tc>
          <w:tcPr>
            <w:tcW w:w="405" w:type="pct"/>
            <w:vAlign w:val="center"/>
          </w:tcPr>
          <w:p w14:paraId="72D71280">
            <w:pPr>
              <w:spacing w:line="400" w:lineRule="atLeast"/>
              <w:rPr>
                <w:rFonts w:hint="eastAsia" w:ascii="宋体" w:hAnsi="宋体" w:cs="宋体"/>
                <w:color w:val="auto"/>
                <w:sz w:val="24"/>
                <w:highlight w:val="none"/>
              </w:rPr>
            </w:pPr>
          </w:p>
        </w:tc>
      </w:tr>
      <w:tr w14:paraId="68AA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96" w:type="pct"/>
            <w:vAlign w:val="center"/>
          </w:tcPr>
          <w:p w14:paraId="4D61883D">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643" w:type="pct"/>
            <w:vAlign w:val="center"/>
          </w:tcPr>
          <w:p w14:paraId="62491106">
            <w:pPr>
              <w:spacing w:line="400" w:lineRule="atLeast"/>
              <w:rPr>
                <w:rFonts w:hint="eastAsia" w:ascii="宋体" w:hAnsi="宋体" w:cs="宋体"/>
                <w:color w:val="auto"/>
                <w:sz w:val="24"/>
                <w:highlight w:val="none"/>
              </w:rPr>
            </w:pPr>
          </w:p>
        </w:tc>
        <w:tc>
          <w:tcPr>
            <w:tcW w:w="618" w:type="pct"/>
            <w:vAlign w:val="center"/>
          </w:tcPr>
          <w:p w14:paraId="6BA7E3AF">
            <w:pPr>
              <w:spacing w:line="400" w:lineRule="atLeast"/>
              <w:rPr>
                <w:rFonts w:hint="eastAsia" w:ascii="宋体" w:hAnsi="宋体" w:cs="宋体"/>
                <w:color w:val="auto"/>
                <w:sz w:val="24"/>
                <w:highlight w:val="none"/>
              </w:rPr>
            </w:pPr>
          </w:p>
        </w:tc>
        <w:tc>
          <w:tcPr>
            <w:tcW w:w="558" w:type="pct"/>
            <w:vAlign w:val="center"/>
          </w:tcPr>
          <w:p w14:paraId="29F150DB">
            <w:pPr>
              <w:spacing w:line="400" w:lineRule="atLeast"/>
              <w:rPr>
                <w:rFonts w:hint="eastAsia" w:ascii="宋体" w:hAnsi="宋体" w:cs="宋体"/>
                <w:color w:val="auto"/>
                <w:sz w:val="24"/>
                <w:highlight w:val="none"/>
              </w:rPr>
            </w:pPr>
          </w:p>
        </w:tc>
        <w:tc>
          <w:tcPr>
            <w:tcW w:w="731" w:type="pct"/>
            <w:vAlign w:val="center"/>
          </w:tcPr>
          <w:p w14:paraId="72E1288F">
            <w:pPr>
              <w:spacing w:line="400" w:lineRule="atLeast"/>
              <w:rPr>
                <w:rFonts w:hint="eastAsia" w:ascii="宋体" w:hAnsi="宋体" w:cs="宋体"/>
                <w:color w:val="auto"/>
                <w:sz w:val="24"/>
                <w:highlight w:val="none"/>
              </w:rPr>
            </w:pPr>
          </w:p>
        </w:tc>
        <w:tc>
          <w:tcPr>
            <w:tcW w:w="448" w:type="pct"/>
          </w:tcPr>
          <w:p w14:paraId="2C9F5F86">
            <w:pPr>
              <w:spacing w:line="400" w:lineRule="atLeast"/>
              <w:rPr>
                <w:rFonts w:hint="eastAsia" w:ascii="宋体" w:hAnsi="宋体" w:cs="宋体"/>
                <w:color w:val="auto"/>
                <w:sz w:val="24"/>
                <w:highlight w:val="none"/>
              </w:rPr>
            </w:pPr>
          </w:p>
        </w:tc>
        <w:tc>
          <w:tcPr>
            <w:tcW w:w="668" w:type="pct"/>
          </w:tcPr>
          <w:p w14:paraId="15609DE6">
            <w:pPr>
              <w:spacing w:line="400" w:lineRule="atLeast"/>
              <w:rPr>
                <w:rFonts w:hint="eastAsia" w:ascii="宋体" w:hAnsi="宋体" w:cs="宋体"/>
                <w:color w:val="auto"/>
                <w:sz w:val="24"/>
                <w:highlight w:val="none"/>
              </w:rPr>
            </w:pPr>
          </w:p>
        </w:tc>
        <w:tc>
          <w:tcPr>
            <w:tcW w:w="627" w:type="pct"/>
            <w:vAlign w:val="center"/>
          </w:tcPr>
          <w:p w14:paraId="09D054C3">
            <w:pPr>
              <w:spacing w:line="400" w:lineRule="atLeast"/>
              <w:rPr>
                <w:rFonts w:hint="eastAsia" w:ascii="宋体" w:hAnsi="宋体" w:cs="宋体"/>
                <w:color w:val="auto"/>
                <w:sz w:val="24"/>
                <w:highlight w:val="none"/>
              </w:rPr>
            </w:pPr>
          </w:p>
        </w:tc>
        <w:tc>
          <w:tcPr>
            <w:tcW w:w="405" w:type="pct"/>
            <w:vAlign w:val="center"/>
          </w:tcPr>
          <w:p w14:paraId="1E5F3595">
            <w:pPr>
              <w:spacing w:line="400" w:lineRule="atLeast"/>
              <w:rPr>
                <w:rFonts w:hint="eastAsia" w:ascii="宋体" w:hAnsi="宋体" w:cs="宋体"/>
                <w:color w:val="auto"/>
                <w:sz w:val="24"/>
                <w:highlight w:val="none"/>
              </w:rPr>
            </w:pPr>
          </w:p>
        </w:tc>
      </w:tr>
      <w:tr w14:paraId="3F51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96" w:type="pct"/>
            <w:vAlign w:val="center"/>
          </w:tcPr>
          <w:p w14:paraId="289FACB5">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643" w:type="pct"/>
            <w:vAlign w:val="center"/>
          </w:tcPr>
          <w:p w14:paraId="4330B95A">
            <w:pPr>
              <w:spacing w:line="400" w:lineRule="atLeast"/>
              <w:rPr>
                <w:rFonts w:hint="eastAsia" w:ascii="宋体" w:hAnsi="宋体" w:cs="宋体"/>
                <w:color w:val="auto"/>
                <w:sz w:val="24"/>
                <w:highlight w:val="none"/>
              </w:rPr>
            </w:pPr>
          </w:p>
        </w:tc>
        <w:tc>
          <w:tcPr>
            <w:tcW w:w="618" w:type="pct"/>
            <w:vAlign w:val="center"/>
          </w:tcPr>
          <w:p w14:paraId="3EA9D3D1">
            <w:pPr>
              <w:spacing w:line="400" w:lineRule="atLeast"/>
              <w:rPr>
                <w:rFonts w:hint="eastAsia" w:ascii="宋体" w:hAnsi="宋体" w:cs="宋体"/>
                <w:color w:val="auto"/>
                <w:sz w:val="24"/>
                <w:highlight w:val="none"/>
              </w:rPr>
            </w:pPr>
          </w:p>
        </w:tc>
        <w:tc>
          <w:tcPr>
            <w:tcW w:w="558" w:type="pct"/>
            <w:vAlign w:val="center"/>
          </w:tcPr>
          <w:p w14:paraId="24AFA700">
            <w:pPr>
              <w:spacing w:line="400" w:lineRule="atLeast"/>
              <w:rPr>
                <w:rFonts w:hint="eastAsia" w:ascii="宋体" w:hAnsi="宋体" w:cs="宋体"/>
                <w:color w:val="auto"/>
                <w:sz w:val="24"/>
                <w:highlight w:val="none"/>
              </w:rPr>
            </w:pPr>
          </w:p>
        </w:tc>
        <w:tc>
          <w:tcPr>
            <w:tcW w:w="731" w:type="pct"/>
            <w:vAlign w:val="center"/>
          </w:tcPr>
          <w:p w14:paraId="1690A87B">
            <w:pPr>
              <w:spacing w:line="400" w:lineRule="atLeast"/>
              <w:rPr>
                <w:rFonts w:hint="eastAsia" w:ascii="宋体" w:hAnsi="宋体" w:cs="宋体"/>
                <w:color w:val="auto"/>
                <w:sz w:val="24"/>
                <w:highlight w:val="none"/>
              </w:rPr>
            </w:pPr>
          </w:p>
        </w:tc>
        <w:tc>
          <w:tcPr>
            <w:tcW w:w="448" w:type="pct"/>
          </w:tcPr>
          <w:p w14:paraId="39A07DAD">
            <w:pPr>
              <w:spacing w:line="400" w:lineRule="atLeast"/>
              <w:rPr>
                <w:rFonts w:hint="eastAsia" w:ascii="宋体" w:hAnsi="宋体" w:cs="宋体"/>
                <w:color w:val="auto"/>
                <w:sz w:val="24"/>
                <w:highlight w:val="none"/>
              </w:rPr>
            </w:pPr>
          </w:p>
        </w:tc>
        <w:tc>
          <w:tcPr>
            <w:tcW w:w="668" w:type="pct"/>
          </w:tcPr>
          <w:p w14:paraId="7179081B">
            <w:pPr>
              <w:spacing w:line="400" w:lineRule="atLeast"/>
              <w:rPr>
                <w:rFonts w:hint="eastAsia" w:ascii="宋体" w:hAnsi="宋体" w:cs="宋体"/>
                <w:color w:val="auto"/>
                <w:sz w:val="24"/>
                <w:highlight w:val="none"/>
              </w:rPr>
            </w:pPr>
          </w:p>
        </w:tc>
        <w:tc>
          <w:tcPr>
            <w:tcW w:w="627" w:type="pct"/>
            <w:vAlign w:val="center"/>
          </w:tcPr>
          <w:p w14:paraId="6925C928">
            <w:pPr>
              <w:spacing w:line="400" w:lineRule="atLeast"/>
              <w:rPr>
                <w:rFonts w:hint="eastAsia" w:ascii="宋体" w:hAnsi="宋体" w:cs="宋体"/>
                <w:color w:val="auto"/>
                <w:sz w:val="24"/>
                <w:highlight w:val="none"/>
              </w:rPr>
            </w:pPr>
          </w:p>
        </w:tc>
        <w:tc>
          <w:tcPr>
            <w:tcW w:w="405" w:type="pct"/>
            <w:vAlign w:val="center"/>
          </w:tcPr>
          <w:p w14:paraId="2EB7CF3B">
            <w:pPr>
              <w:spacing w:line="400" w:lineRule="atLeast"/>
              <w:rPr>
                <w:rFonts w:hint="eastAsia" w:ascii="宋体" w:hAnsi="宋体" w:cs="宋体"/>
                <w:color w:val="auto"/>
                <w:sz w:val="24"/>
                <w:highlight w:val="none"/>
              </w:rPr>
            </w:pPr>
          </w:p>
        </w:tc>
      </w:tr>
      <w:tr w14:paraId="3536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96" w:type="pct"/>
            <w:vAlign w:val="center"/>
          </w:tcPr>
          <w:p w14:paraId="48067BB8">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4</w:t>
            </w:r>
          </w:p>
        </w:tc>
        <w:tc>
          <w:tcPr>
            <w:tcW w:w="643" w:type="pct"/>
            <w:vAlign w:val="center"/>
          </w:tcPr>
          <w:p w14:paraId="1242D795">
            <w:pPr>
              <w:spacing w:line="400" w:lineRule="atLeast"/>
              <w:rPr>
                <w:rFonts w:hint="eastAsia" w:ascii="宋体" w:hAnsi="宋体" w:cs="宋体"/>
                <w:color w:val="auto"/>
                <w:sz w:val="24"/>
                <w:highlight w:val="none"/>
              </w:rPr>
            </w:pPr>
          </w:p>
        </w:tc>
        <w:tc>
          <w:tcPr>
            <w:tcW w:w="618" w:type="pct"/>
            <w:vAlign w:val="center"/>
          </w:tcPr>
          <w:p w14:paraId="0A56A3A2">
            <w:pPr>
              <w:spacing w:line="400" w:lineRule="atLeast"/>
              <w:rPr>
                <w:rFonts w:hint="eastAsia" w:ascii="宋体" w:hAnsi="宋体" w:cs="宋体"/>
                <w:color w:val="auto"/>
                <w:sz w:val="24"/>
                <w:highlight w:val="none"/>
              </w:rPr>
            </w:pPr>
          </w:p>
        </w:tc>
        <w:tc>
          <w:tcPr>
            <w:tcW w:w="558" w:type="pct"/>
            <w:vAlign w:val="center"/>
          </w:tcPr>
          <w:p w14:paraId="22A21086">
            <w:pPr>
              <w:spacing w:line="400" w:lineRule="atLeast"/>
              <w:rPr>
                <w:rFonts w:hint="eastAsia" w:ascii="宋体" w:hAnsi="宋体" w:cs="宋体"/>
                <w:color w:val="auto"/>
                <w:sz w:val="24"/>
                <w:highlight w:val="none"/>
              </w:rPr>
            </w:pPr>
          </w:p>
        </w:tc>
        <w:tc>
          <w:tcPr>
            <w:tcW w:w="731" w:type="pct"/>
            <w:vAlign w:val="center"/>
          </w:tcPr>
          <w:p w14:paraId="4ED232DD">
            <w:pPr>
              <w:spacing w:line="400" w:lineRule="atLeast"/>
              <w:rPr>
                <w:rFonts w:hint="eastAsia" w:ascii="宋体" w:hAnsi="宋体" w:cs="宋体"/>
                <w:color w:val="auto"/>
                <w:sz w:val="24"/>
                <w:highlight w:val="none"/>
              </w:rPr>
            </w:pPr>
          </w:p>
        </w:tc>
        <w:tc>
          <w:tcPr>
            <w:tcW w:w="448" w:type="pct"/>
          </w:tcPr>
          <w:p w14:paraId="7CE88893">
            <w:pPr>
              <w:spacing w:line="400" w:lineRule="atLeast"/>
              <w:rPr>
                <w:rFonts w:hint="eastAsia" w:ascii="宋体" w:hAnsi="宋体" w:cs="宋体"/>
                <w:color w:val="auto"/>
                <w:sz w:val="24"/>
                <w:highlight w:val="none"/>
              </w:rPr>
            </w:pPr>
          </w:p>
        </w:tc>
        <w:tc>
          <w:tcPr>
            <w:tcW w:w="668" w:type="pct"/>
          </w:tcPr>
          <w:p w14:paraId="26C4E328">
            <w:pPr>
              <w:spacing w:line="400" w:lineRule="atLeast"/>
              <w:rPr>
                <w:rFonts w:hint="eastAsia" w:ascii="宋体" w:hAnsi="宋体" w:cs="宋体"/>
                <w:color w:val="auto"/>
                <w:sz w:val="24"/>
                <w:highlight w:val="none"/>
              </w:rPr>
            </w:pPr>
          </w:p>
        </w:tc>
        <w:tc>
          <w:tcPr>
            <w:tcW w:w="627" w:type="pct"/>
            <w:vAlign w:val="center"/>
          </w:tcPr>
          <w:p w14:paraId="039EDCC6">
            <w:pPr>
              <w:spacing w:line="400" w:lineRule="atLeast"/>
              <w:rPr>
                <w:rFonts w:hint="eastAsia" w:ascii="宋体" w:hAnsi="宋体" w:cs="宋体"/>
                <w:color w:val="auto"/>
                <w:sz w:val="24"/>
                <w:highlight w:val="none"/>
              </w:rPr>
            </w:pPr>
          </w:p>
        </w:tc>
        <w:tc>
          <w:tcPr>
            <w:tcW w:w="405" w:type="pct"/>
            <w:vAlign w:val="center"/>
          </w:tcPr>
          <w:p w14:paraId="44E7A7EE">
            <w:pPr>
              <w:spacing w:line="400" w:lineRule="atLeast"/>
              <w:rPr>
                <w:rFonts w:hint="eastAsia" w:ascii="宋体" w:hAnsi="宋体" w:cs="宋体"/>
                <w:color w:val="auto"/>
                <w:sz w:val="24"/>
                <w:highlight w:val="none"/>
              </w:rPr>
            </w:pPr>
          </w:p>
        </w:tc>
      </w:tr>
      <w:tr w14:paraId="211B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96" w:type="pct"/>
            <w:vAlign w:val="center"/>
          </w:tcPr>
          <w:p w14:paraId="13A38C5A">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 xml:space="preserve">5 </w:t>
            </w:r>
          </w:p>
        </w:tc>
        <w:tc>
          <w:tcPr>
            <w:tcW w:w="643" w:type="pct"/>
            <w:vAlign w:val="center"/>
          </w:tcPr>
          <w:p w14:paraId="585873BC">
            <w:pPr>
              <w:spacing w:line="400" w:lineRule="atLeast"/>
              <w:rPr>
                <w:rFonts w:hint="eastAsia" w:ascii="宋体" w:hAnsi="宋体" w:cs="宋体"/>
                <w:color w:val="auto"/>
                <w:sz w:val="24"/>
                <w:highlight w:val="none"/>
              </w:rPr>
            </w:pPr>
          </w:p>
        </w:tc>
        <w:tc>
          <w:tcPr>
            <w:tcW w:w="618" w:type="pct"/>
            <w:vAlign w:val="center"/>
          </w:tcPr>
          <w:p w14:paraId="4E1FD0CC">
            <w:pPr>
              <w:spacing w:line="400" w:lineRule="atLeast"/>
              <w:rPr>
                <w:rFonts w:hint="eastAsia" w:ascii="宋体" w:hAnsi="宋体" w:cs="宋体"/>
                <w:color w:val="auto"/>
                <w:sz w:val="24"/>
                <w:highlight w:val="none"/>
              </w:rPr>
            </w:pPr>
          </w:p>
        </w:tc>
        <w:tc>
          <w:tcPr>
            <w:tcW w:w="558" w:type="pct"/>
            <w:vAlign w:val="center"/>
          </w:tcPr>
          <w:p w14:paraId="41989CFB">
            <w:pPr>
              <w:spacing w:line="400" w:lineRule="atLeast"/>
              <w:rPr>
                <w:rFonts w:hint="eastAsia" w:ascii="宋体" w:hAnsi="宋体" w:cs="宋体"/>
                <w:color w:val="auto"/>
                <w:sz w:val="24"/>
                <w:highlight w:val="none"/>
              </w:rPr>
            </w:pPr>
          </w:p>
        </w:tc>
        <w:tc>
          <w:tcPr>
            <w:tcW w:w="731" w:type="pct"/>
            <w:vAlign w:val="center"/>
          </w:tcPr>
          <w:p w14:paraId="6BB0787D">
            <w:pPr>
              <w:spacing w:line="400" w:lineRule="atLeast"/>
              <w:rPr>
                <w:rFonts w:hint="eastAsia" w:ascii="宋体" w:hAnsi="宋体" w:cs="宋体"/>
                <w:color w:val="auto"/>
                <w:sz w:val="24"/>
                <w:highlight w:val="none"/>
              </w:rPr>
            </w:pPr>
          </w:p>
        </w:tc>
        <w:tc>
          <w:tcPr>
            <w:tcW w:w="448" w:type="pct"/>
          </w:tcPr>
          <w:p w14:paraId="16A3895B">
            <w:pPr>
              <w:spacing w:line="400" w:lineRule="atLeast"/>
              <w:rPr>
                <w:rFonts w:hint="eastAsia" w:ascii="宋体" w:hAnsi="宋体" w:cs="宋体"/>
                <w:color w:val="auto"/>
                <w:sz w:val="24"/>
                <w:highlight w:val="none"/>
              </w:rPr>
            </w:pPr>
          </w:p>
        </w:tc>
        <w:tc>
          <w:tcPr>
            <w:tcW w:w="668" w:type="pct"/>
          </w:tcPr>
          <w:p w14:paraId="635ADE39">
            <w:pPr>
              <w:spacing w:line="400" w:lineRule="atLeast"/>
              <w:rPr>
                <w:rFonts w:hint="eastAsia" w:ascii="宋体" w:hAnsi="宋体" w:cs="宋体"/>
                <w:color w:val="auto"/>
                <w:sz w:val="24"/>
                <w:highlight w:val="none"/>
              </w:rPr>
            </w:pPr>
          </w:p>
        </w:tc>
        <w:tc>
          <w:tcPr>
            <w:tcW w:w="627" w:type="pct"/>
            <w:vAlign w:val="center"/>
          </w:tcPr>
          <w:p w14:paraId="5E99FA25">
            <w:pPr>
              <w:spacing w:line="400" w:lineRule="atLeast"/>
              <w:rPr>
                <w:rFonts w:hint="eastAsia" w:ascii="宋体" w:hAnsi="宋体" w:cs="宋体"/>
                <w:color w:val="auto"/>
                <w:sz w:val="24"/>
                <w:highlight w:val="none"/>
              </w:rPr>
            </w:pPr>
          </w:p>
        </w:tc>
        <w:tc>
          <w:tcPr>
            <w:tcW w:w="405" w:type="pct"/>
            <w:vAlign w:val="center"/>
          </w:tcPr>
          <w:p w14:paraId="61004633">
            <w:pPr>
              <w:spacing w:line="400" w:lineRule="atLeast"/>
              <w:rPr>
                <w:rFonts w:hint="eastAsia" w:ascii="宋体" w:hAnsi="宋体" w:cs="宋体"/>
                <w:color w:val="auto"/>
                <w:sz w:val="24"/>
                <w:highlight w:val="none"/>
              </w:rPr>
            </w:pPr>
          </w:p>
        </w:tc>
      </w:tr>
      <w:tr w14:paraId="1287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96" w:type="pct"/>
            <w:vAlign w:val="center"/>
          </w:tcPr>
          <w:p w14:paraId="202197DE">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6</w:t>
            </w:r>
          </w:p>
        </w:tc>
        <w:tc>
          <w:tcPr>
            <w:tcW w:w="643" w:type="pct"/>
            <w:vAlign w:val="center"/>
          </w:tcPr>
          <w:p w14:paraId="50859A3A">
            <w:pPr>
              <w:spacing w:line="400" w:lineRule="atLeast"/>
              <w:rPr>
                <w:rFonts w:hint="eastAsia" w:ascii="宋体" w:hAnsi="宋体" w:cs="宋体"/>
                <w:color w:val="auto"/>
                <w:sz w:val="24"/>
                <w:highlight w:val="none"/>
              </w:rPr>
            </w:pPr>
          </w:p>
        </w:tc>
        <w:tc>
          <w:tcPr>
            <w:tcW w:w="618" w:type="pct"/>
            <w:vAlign w:val="center"/>
          </w:tcPr>
          <w:p w14:paraId="4A3668FB">
            <w:pPr>
              <w:spacing w:line="400" w:lineRule="atLeast"/>
              <w:rPr>
                <w:rFonts w:hint="eastAsia" w:ascii="宋体" w:hAnsi="宋体" w:cs="宋体"/>
                <w:color w:val="auto"/>
                <w:sz w:val="24"/>
                <w:highlight w:val="none"/>
              </w:rPr>
            </w:pPr>
          </w:p>
        </w:tc>
        <w:tc>
          <w:tcPr>
            <w:tcW w:w="558" w:type="pct"/>
            <w:vAlign w:val="center"/>
          </w:tcPr>
          <w:p w14:paraId="12228297">
            <w:pPr>
              <w:spacing w:line="400" w:lineRule="atLeast"/>
              <w:rPr>
                <w:rFonts w:hint="eastAsia" w:ascii="宋体" w:hAnsi="宋体" w:cs="宋体"/>
                <w:color w:val="auto"/>
                <w:sz w:val="24"/>
                <w:highlight w:val="none"/>
              </w:rPr>
            </w:pPr>
          </w:p>
        </w:tc>
        <w:tc>
          <w:tcPr>
            <w:tcW w:w="731" w:type="pct"/>
            <w:vAlign w:val="center"/>
          </w:tcPr>
          <w:p w14:paraId="0C38FF9C">
            <w:pPr>
              <w:spacing w:line="400" w:lineRule="atLeast"/>
              <w:rPr>
                <w:rFonts w:hint="eastAsia" w:ascii="宋体" w:hAnsi="宋体" w:cs="宋体"/>
                <w:color w:val="auto"/>
                <w:sz w:val="24"/>
                <w:highlight w:val="none"/>
              </w:rPr>
            </w:pPr>
          </w:p>
        </w:tc>
        <w:tc>
          <w:tcPr>
            <w:tcW w:w="448" w:type="pct"/>
          </w:tcPr>
          <w:p w14:paraId="4EA39428">
            <w:pPr>
              <w:spacing w:line="400" w:lineRule="atLeast"/>
              <w:rPr>
                <w:rFonts w:hint="eastAsia" w:ascii="宋体" w:hAnsi="宋体" w:cs="宋体"/>
                <w:color w:val="auto"/>
                <w:sz w:val="24"/>
                <w:highlight w:val="none"/>
              </w:rPr>
            </w:pPr>
          </w:p>
        </w:tc>
        <w:tc>
          <w:tcPr>
            <w:tcW w:w="668" w:type="pct"/>
          </w:tcPr>
          <w:p w14:paraId="0E4DA2E9">
            <w:pPr>
              <w:spacing w:line="400" w:lineRule="atLeast"/>
              <w:rPr>
                <w:rFonts w:hint="eastAsia" w:ascii="宋体" w:hAnsi="宋体" w:cs="宋体"/>
                <w:color w:val="auto"/>
                <w:sz w:val="24"/>
                <w:highlight w:val="none"/>
              </w:rPr>
            </w:pPr>
          </w:p>
        </w:tc>
        <w:tc>
          <w:tcPr>
            <w:tcW w:w="627" w:type="pct"/>
            <w:vAlign w:val="center"/>
          </w:tcPr>
          <w:p w14:paraId="3D13BACE">
            <w:pPr>
              <w:spacing w:line="400" w:lineRule="atLeast"/>
              <w:rPr>
                <w:rFonts w:hint="eastAsia" w:ascii="宋体" w:hAnsi="宋体" w:cs="宋体"/>
                <w:color w:val="auto"/>
                <w:sz w:val="24"/>
                <w:highlight w:val="none"/>
              </w:rPr>
            </w:pPr>
          </w:p>
        </w:tc>
        <w:tc>
          <w:tcPr>
            <w:tcW w:w="405" w:type="pct"/>
            <w:vAlign w:val="center"/>
          </w:tcPr>
          <w:p w14:paraId="78484812">
            <w:pPr>
              <w:spacing w:line="400" w:lineRule="atLeast"/>
              <w:rPr>
                <w:rFonts w:hint="eastAsia" w:ascii="宋体" w:hAnsi="宋体" w:cs="宋体"/>
                <w:color w:val="auto"/>
                <w:sz w:val="24"/>
                <w:highlight w:val="none"/>
              </w:rPr>
            </w:pPr>
          </w:p>
        </w:tc>
      </w:tr>
      <w:tr w14:paraId="59A1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96" w:type="pct"/>
            <w:vAlign w:val="center"/>
          </w:tcPr>
          <w:p w14:paraId="7202163C">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7</w:t>
            </w:r>
          </w:p>
        </w:tc>
        <w:tc>
          <w:tcPr>
            <w:tcW w:w="643" w:type="pct"/>
            <w:vAlign w:val="center"/>
          </w:tcPr>
          <w:p w14:paraId="3D7EAA90">
            <w:pPr>
              <w:spacing w:line="400" w:lineRule="atLeast"/>
              <w:rPr>
                <w:rFonts w:hint="eastAsia" w:ascii="宋体" w:hAnsi="宋体" w:cs="宋体"/>
                <w:color w:val="auto"/>
                <w:sz w:val="24"/>
                <w:highlight w:val="none"/>
              </w:rPr>
            </w:pPr>
          </w:p>
        </w:tc>
        <w:tc>
          <w:tcPr>
            <w:tcW w:w="618" w:type="pct"/>
            <w:vAlign w:val="center"/>
          </w:tcPr>
          <w:p w14:paraId="785F1BBF">
            <w:pPr>
              <w:spacing w:line="400" w:lineRule="atLeast"/>
              <w:rPr>
                <w:rFonts w:hint="eastAsia" w:ascii="宋体" w:hAnsi="宋体" w:cs="宋体"/>
                <w:color w:val="auto"/>
                <w:sz w:val="24"/>
                <w:highlight w:val="none"/>
              </w:rPr>
            </w:pPr>
          </w:p>
        </w:tc>
        <w:tc>
          <w:tcPr>
            <w:tcW w:w="558" w:type="pct"/>
            <w:vAlign w:val="center"/>
          </w:tcPr>
          <w:p w14:paraId="136078D0">
            <w:pPr>
              <w:spacing w:line="400" w:lineRule="atLeast"/>
              <w:rPr>
                <w:rFonts w:hint="eastAsia" w:ascii="宋体" w:hAnsi="宋体" w:cs="宋体"/>
                <w:color w:val="auto"/>
                <w:sz w:val="24"/>
                <w:highlight w:val="none"/>
              </w:rPr>
            </w:pPr>
          </w:p>
        </w:tc>
        <w:tc>
          <w:tcPr>
            <w:tcW w:w="731" w:type="pct"/>
            <w:vAlign w:val="center"/>
          </w:tcPr>
          <w:p w14:paraId="11534F88">
            <w:pPr>
              <w:spacing w:line="400" w:lineRule="atLeast"/>
              <w:rPr>
                <w:rFonts w:hint="eastAsia" w:ascii="宋体" w:hAnsi="宋体" w:cs="宋体"/>
                <w:color w:val="auto"/>
                <w:sz w:val="24"/>
                <w:highlight w:val="none"/>
              </w:rPr>
            </w:pPr>
          </w:p>
        </w:tc>
        <w:tc>
          <w:tcPr>
            <w:tcW w:w="448" w:type="pct"/>
          </w:tcPr>
          <w:p w14:paraId="2F9FFDE3">
            <w:pPr>
              <w:spacing w:line="400" w:lineRule="atLeast"/>
              <w:rPr>
                <w:rFonts w:hint="eastAsia" w:ascii="宋体" w:hAnsi="宋体" w:cs="宋体"/>
                <w:color w:val="auto"/>
                <w:sz w:val="24"/>
                <w:highlight w:val="none"/>
              </w:rPr>
            </w:pPr>
          </w:p>
        </w:tc>
        <w:tc>
          <w:tcPr>
            <w:tcW w:w="668" w:type="pct"/>
          </w:tcPr>
          <w:p w14:paraId="14048CB2">
            <w:pPr>
              <w:spacing w:line="400" w:lineRule="atLeast"/>
              <w:rPr>
                <w:rFonts w:hint="eastAsia" w:ascii="宋体" w:hAnsi="宋体" w:cs="宋体"/>
                <w:color w:val="auto"/>
                <w:sz w:val="24"/>
                <w:highlight w:val="none"/>
              </w:rPr>
            </w:pPr>
          </w:p>
        </w:tc>
        <w:tc>
          <w:tcPr>
            <w:tcW w:w="627" w:type="pct"/>
            <w:vAlign w:val="center"/>
          </w:tcPr>
          <w:p w14:paraId="11A7C22A">
            <w:pPr>
              <w:spacing w:line="400" w:lineRule="atLeast"/>
              <w:rPr>
                <w:rFonts w:hint="eastAsia" w:ascii="宋体" w:hAnsi="宋体" w:cs="宋体"/>
                <w:color w:val="auto"/>
                <w:sz w:val="24"/>
                <w:highlight w:val="none"/>
              </w:rPr>
            </w:pPr>
          </w:p>
        </w:tc>
        <w:tc>
          <w:tcPr>
            <w:tcW w:w="405" w:type="pct"/>
            <w:vAlign w:val="center"/>
          </w:tcPr>
          <w:p w14:paraId="55C96DA4">
            <w:pPr>
              <w:spacing w:line="400" w:lineRule="atLeast"/>
              <w:rPr>
                <w:rFonts w:hint="eastAsia" w:ascii="宋体" w:hAnsi="宋体" w:cs="宋体"/>
                <w:color w:val="auto"/>
                <w:sz w:val="24"/>
                <w:highlight w:val="none"/>
              </w:rPr>
            </w:pPr>
          </w:p>
        </w:tc>
      </w:tr>
      <w:tr w14:paraId="3608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96" w:type="pct"/>
            <w:vAlign w:val="center"/>
          </w:tcPr>
          <w:p w14:paraId="0D122F87">
            <w:pPr>
              <w:spacing w:line="400" w:lineRule="atLeast"/>
              <w:jc w:val="center"/>
              <w:rPr>
                <w:rFonts w:hint="eastAsia" w:ascii="宋体" w:hAnsi="宋体" w:cs="宋体"/>
                <w:color w:val="auto"/>
                <w:sz w:val="24"/>
                <w:highlight w:val="none"/>
              </w:rPr>
            </w:pPr>
            <w:r>
              <w:rPr>
                <w:rFonts w:hint="eastAsia" w:ascii="宋体" w:hAnsi="宋体" w:cs="宋体"/>
                <w:color w:val="auto"/>
                <w:sz w:val="24"/>
                <w:highlight w:val="none"/>
              </w:rPr>
              <w:t>8</w:t>
            </w:r>
          </w:p>
        </w:tc>
        <w:tc>
          <w:tcPr>
            <w:tcW w:w="643" w:type="pct"/>
            <w:vAlign w:val="center"/>
          </w:tcPr>
          <w:p w14:paraId="186A541F">
            <w:pPr>
              <w:spacing w:line="400" w:lineRule="atLeast"/>
              <w:rPr>
                <w:rFonts w:hint="eastAsia" w:ascii="宋体" w:hAnsi="宋体" w:cs="宋体"/>
                <w:color w:val="auto"/>
                <w:sz w:val="24"/>
                <w:highlight w:val="none"/>
              </w:rPr>
            </w:pPr>
            <w:r>
              <w:rPr>
                <w:rFonts w:hint="eastAsia" w:ascii="宋体" w:hAnsi="宋体" w:cs="宋体"/>
                <w:color w:val="auto"/>
                <w:sz w:val="24"/>
                <w:highlight w:val="none"/>
              </w:rPr>
              <w:t>……</w:t>
            </w:r>
          </w:p>
        </w:tc>
        <w:tc>
          <w:tcPr>
            <w:tcW w:w="618" w:type="pct"/>
            <w:vAlign w:val="center"/>
          </w:tcPr>
          <w:p w14:paraId="39F443BC">
            <w:pPr>
              <w:spacing w:line="400" w:lineRule="atLeast"/>
              <w:rPr>
                <w:rFonts w:hint="eastAsia" w:ascii="宋体" w:hAnsi="宋体" w:cs="宋体"/>
                <w:color w:val="auto"/>
                <w:sz w:val="24"/>
                <w:highlight w:val="none"/>
              </w:rPr>
            </w:pPr>
          </w:p>
        </w:tc>
        <w:tc>
          <w:tcPr>
            <w:tcW w:w="558" w:type="pct"/>
            <w:vAlign w:val="center"/>
          </w:tcPr>
          <w:p w14:paraId="6B270F7E">
            <w:pPr>
              <w:spacing w:line="400" w:lineRule="atLeast"/>
              <w:rPr>
                <w:rFonts w:hint="eastAsia" w:ascii="宋体" w:hAnsi="宋体" w:cs="宋体"/>
                <w:color w:val="auto"/>
                <w:sz w:val="24"/>
                <w:highlight w:val="none"/>
              </w:rPr>
            </w:pPr>
          </w:p>
        </w:tc>
        <w:tc>
          <w:tcPr>
            <w:tcW w:w="731" w:type="pct"/>
            <w:vAlign w:val="center"/>
          </w:tcPr>
          <w:p w14:paraId="59D7541A">
            <w:pPr>
              <w:spacing w:line="400" w:lineRule="atLeast"/>
              <w:rPr>
                <w:rFonts w:hint="eastAsia" w:ascii="宋体" w:hAnsi="宋体" w:cs="宋体"/>
                <w:color w:val="auto"/>
                <w:sz w:val="24"/>
                <w:highlight w:val="none"/>
              </w:rPr>
            </w:pPr>
          </w:p>
        </w:tc>
        <w:tc>
          <w:tcPr>
            <w:tcW w:w="448" w:type="pct"/>
          </w:tcPr>
          <w:p w14:paraId="5B3CECF8">
            <w:pPr>
              <w:spacing w:line="400" w:lineRule="atLeast"/>
              <w:rPr>
                <w:rFonts w:hint="eastAsia" w:ascii="宋体" w:hAnsi="宋体" w:cs="宋体"/>
                <w:color w:val="auto"/>
                <w:sz w:val="24"/>
                <w:highlight w:val="none"/>
              </w:rPr>
            </w:pPr>
          </w:p>
        </w:tc>
        <w:tc>
          <w:tcPr>
            <w:tcW w:w="668" w:type="pct"/>
          </w:tcPr>
          <w:p w14:paraId="25EE0F3C">
            <w:pPr>
              <w:spacing w:line="400" w:lineRule="atLeast"/>
              <w:rPr>
                <w:rFonts w:hint="eastAsia" w:ascii="宋体" w:hAnsi="宋体" w:cs="宋体"/>
                <w:color w:val="auto"/>
                <w:sz w:val="24"/>
                <w:highlight w:val="none"/>
              </w:rPr>
            </w:pPr>
          </w:p>
        </w:tc>
        <w:tc>
          <w:tcPr>
            <w:tcW w:w="627" w:type="pct"/>
            <w:vAlign w:val="center"/>
          </w:tcPr>
          <w:p w14:paraId="2740B40A">
            <w:pPr>
              <w:spacing w:line="400" w:lineRule="atLeast"/>
              <w:rPr>
                <w:rFonts w:hint="eastAsia" w:ascii="宋体" w:hAnsi="宋体" w:cs="宋体"/>
                <w:color w:val="auto"/>
                <w:sz w:val="24"/>
                <w:highlight w:val="none"/>
              </w:rPr>
            </w:pPr>
          </w:p>
        </w:tc>
        <w:tc>
          <w:tcPr>
            <w:tcW w:w="405" w:type="pct"/>
            <w:vAlign w:val="center"/>
          </w:tcPr>
          <w:p w14:paraId="3D10280B">
            <w:pPr>
              <w:spacing w:line="400" w:lineRule="atLeast"/>
              <w:rPr>
                <w:rFonts w:hint="eastAsia" w:ascii="宋体" w:hAnsi="宋体" w:cs="宋体"/>
                <w:color w:val="auto"/>
                <w:sz w:val="24"/>
                <w:highlight w:val="none"/>
              </w:rPr>
            </w:pPr>
          </w:p>
        </w:tc>
      </w:tr>
    </w:tbl>
    <w:p w14:paraId="1378E025">
      <w:pPr>
        <w:widowControl w:val="0"/>
        <w:spacing w:line="360" w:lineRule="auto"/>
        <w:ind w:firstLine="2" w:firstLineChars="1"/>
        <w:jc w:val="both"/>
        <w:rPr>
          <w:rFonts w:hint="eastAsia" w:ascii="宋体" w:hAnsi="宋体" w:cs="宋体"/>
          <w:b/>
          <w:color w:val="auto"/>
          <w:kern w:val="2"/>
          <w:sz w:val="24"/>
          <w:szCs w:val="24"/>
          <w:highlight w:val="none"/>
        </w:rPr>
      </w:pPr>
      <w:r>
        <w:rPr>
          <w:rFonts w:hint="eastAsia" w:ascii="宋体" w:hAnsi="宋体" w:cs="宋体"/>
          <w:b/>
          <w:color w:val="auto"/>
          <w:kern w:val="2"/>
          <w:sz w:val="24"/>
          <w:szCs w:val="24"/>
          <w:highlight w:val="none"/>
        </w:rPr>
        <w:t>注：若表格不够填写，可自行扩展。</w:t>
      </w:r>
    </w:p>
    <w:p w14:paraId="0B082A89">
      <w:pPr>
        <w:widowControl w:val="0"/>
        <w:spacing w:line="240" w:lineRule="atLeast"/>
        <w:ind w:firstLine="480" w:firstLineChars="200"/>
        <w:jc w:val="both"/>
        <w:rPr>
          <w:rFonts w:hint="eastAsia" w:ascii="宋体" w:hAnsi="宋体" w:cs="宋体"/>
          <w:color w:val="auto"/>
          <w:kern w:val="2"/>
          <w:sz w:val="24"/>
          <w:szCs w:val="24"/>
          <w:highlight w:val="none"/>
        </w:rPr>
      </w:pPr>
    </w:p>
    <w:p w14:paraId="5C2253FC">
      <w:pPr>
        <w:widowControl w:val="0"/>
        <w:spacing w:line="240" w:lineRule="atLeast"/>
        <w:ind w:firstLine="480" w:firstLineChars="200"/>
        <w:jc w:val="both"/>
        <w:rPr>
          <w:rFonts w:hint="eastAsia" w:ascii="宋体" w:hAnsi="宋体" w:cs="宋体"/>
          <w:color w:val="auto"/>
          <w:kern w:val="2"/>
          <w:sz w:val="24"/>
          <w:szCs w:val="24"/>
          <w:highlight w:val="none"/>
        </w:rPr>
      </w:pPr>
    </w:p>
    <w:p w14:paraId="030FE24A">
      <w:pPr>
        <w:widowControl w:val="0"/>
        <w:spacing w:line="240" w:lineRule="atLeast"/>
        <w:ind w:firstLine="480" w:firstLineChars="200"/>
        <w:jc w:val="both"/>
        <w:rPr>
          <w:rFonts w:hint="eastAsia" w:ascii="宋体" w:hAnsi="宋体" w:cs="宋体"/>
          <w:color w:val="auto"/>
          <w:kern w:val="2"/>
          <w:sz w:val="24"/>
          <w:szCs w:val="24"/>
          <w:highlight w:val="none"/>
        </w:rPr>
      </w:pPr>
    </w:p>
    <w:p w14:paraId="341D500B">
      <w:pPr>
        <w:widowControl w:val="0"/>
        <w:spacing w:line="240" w:lineRule="atLeast"/>
        <w:ind w:firstLine="480" w:firstLineChars="200"/>
        <w:jc w:val="both"/>
        <w:rPr>
          <w:rFonts w:hint="eastAsia" w:ascii="宋体" w:hAnsi="宋体" w:cs="宋体"/>
          <w:color w:val="auto"/>
          <w:kern w:val="2"/>
          <w:sz w:val="24"/>
          <w:szCs w:val="24"/>
          <w:highlight w:val="none"/>
        </w:rPr>
      </w:pPr>
    </w:p>
    <w:p w14:paraId="4A6BCF12">
      <w:pPr>
        <w:widowControl w:val="0"/>
        <w:spacing w:line="240" w:lineRule="atLeast"/>
        <w:ind w:firstLine="480" w:firstLineChars="200"/>
        <w:jc w:val="both"/>
        <w:rPr>
          <w:rFonts w:hint="eastAsia" w:ascii="宋体" w:hAnsi="宋体" w:cs="宋体"/>
          <w:color w:val="auto"/>
          <w:kern w:val="2"/>
          <w:sz w:val="24"/>
          <w:szCs w:val="24"/>
          <w:highlight w:val="none"/>
        </w:rPr>
      </w:pPr>
    </w:p>
    <w:p w14:paraId="69B3ACB2">
      <w:pPr>
        <w:widowControl w:val="0"/>
        <w:spacing w:line="360" w:lineRule="auto"/>
        <w:jc w:val="both"/>
        <w:rPr>
          <w:rFonts w:hint="eastAsia" w:ascii="宋体" w:hAnsi="宋体" w:cs="宋体"/>
          <w:b/>
          <w:color w:val="auto"/>
          <w:kern w:val="2"/>
          <w:sz w:val="28"/>
          <w:szCs w:val="28"/>
          <w:highlight w:val="none"/>
        </w:rPr>
      </w:pPr>
      <w:r>
        <w:rPr>
          <w:rFonts w:hint="eastAsia" w:ascii="宋体" w:hAnsi="宋体" w:cs="宋体"/>
          <w:b/>
          <w:color w:val="auto"/>
          <w:kern w:val="2"/>
          <w:sz w:val="28"/>
          <w:szCs w:val="28"/>
          <w:highlight w:val="none"/>
        </w:rPr>
        <w:t>投标人：</w:t>
      </w:r>
      <w:r>
        <w:rPr>
          <w:rFonts w:hint="eastAsia" w:ascii="宋体" w:hAnsi="宋体" w:cs="宋体"/>
          <w:b/>
          <w:color w:val="auto"/>
          <w:kern w:val="2"/>
          <w:sz w:val="28"/>
          <w:szCs w:val="28"/>
          <w:highlight w:val="none"/>
          <w:u w:val="single"/>
        </w:rPr>
        <w:tab/>
      </w:r>
      <w:r>
        <w:rPr>
          <w:rFonts w:hint="eastAsia" w:ascii="宋体" w:hAnsi="宋体" w:cs="宋体"/>
          <w:b/>
          <w:color w:val="auto"/>
          <w:kern w:val="2"/>
          <w:sz w:val="28"/>
          <w:szCs w:val="28"/>
          <w:highlight w:val="none"/>
          <w:u w:val="single"/>
        </w:rPr>
        <w:t xml:space="preserve">           </w:t>
      </w:r>
      <w:r>
        <w:rPr>
          <w:rFonts w:hint="eastAsia" w:ascii="宋体" w:hAnsi="宋体" w:cs="宋体"/>
          <w:b/>
          <w:color w:val="auto"/>
          <w:kern w:val="2"/>
          <w:sz w:val="28"/>
          <w:szCs w:val="28"/>
          <w:highlight w:val="none"/>
        </w:rPr>
        <w:t>(电子签章)</w:t>
      </w:r>
    </w:p>
    <w:p w14:paraId="50C08EF6">
      <w:pPr>
        <w:widowControl w:val="0"/>
        <w:spacing w:line="360" w:lineRule="auto"/>
        <w:jc w:val="both"/>
        <w:rPr>
          <w:rFonts w:hint="eastAsia" w:ascii="宋体" w:hAnsi="宋体" w:cs="宋体"/>
          <w:b/>
          <w:color w:val="auto"/>
          <w:kern w:val="2"/>
          <w:sz w:val="28"/>
          <w:szCs w:val="28"/>
          <w:highlight w:val="none"/>
        </w:rPr>
      </w:pPr>
      <w:r>
        <w:rPr>
          <w:rFonts w:hint="eastAsia" w:ascii="宋体" w:hAnsi="宋体" w:cs="宋体"/>
          <w:b/>
          <w:color w:val="auto"/>
          <w:kern w:val="2"/>
          <w:sz w:val="28"/>
          <w:szCs w:val="28"/>
          <w:highlight w:val="none"/>
        </w:rPr>
        <w:t>法定代表人(单位负责人)或其委托代理人：</w:t>
      </w:r>
      <w:r>
        <w:rPr>
          <w:rFonts w:hint="eastAsia" w:ascii="宋体" w:hAnsi="宋体" w:cs="宋体"/>
          <w:b/>
          <w:color w:val="auto"/>
          <w:kern w:val="2"/>
          <w:sz w:val="28"/>
          <w:szCs w:val="28"/>
          <w:highlight w:val="none"/>
          <w:u w:val="single"/>
        </w:rPr>
        <w:tab/>
      </w:r>
      <w:r>
        <w:rPr>
          <w:rFonts w:hint="eastAsia" w:ascii="宋体" w:hAnsi="宋体" w:cs="宋体"/>
          <w:b/>
          <w:color w:val="auto"/>
          <w:kern w:val="2"/>
          <w:sz w:val="28"/>
          <w:szCs w:val="28"/>
          <w:highlight w:val="none"/>
          <w:u w:val="single"/>
        </w:rPr>
        <w:t xml:space="preserve">      </w:t>
      </w:r>
      <w:r>
        <w:rPr>
          <w:rFonts w:hint="eastAsia" w:ascii="宋体" w:hAnsi="宋体" w:cs="宋体"/>
          <w:b/>
          <w:color w:val="auto"/>
          <w:kern w:val="2"/>
          <w:sz w:val="28"/>
          <w:szCs w:val="28"/>
          <w:highlight w:val="none"/>
        </w:rPr>
        <w:t>(电子签章)</w:t>
      </w:r>
    </w:p>
    <w:p w14:paraId="173ABF63">
      <w:pPr>
        <w:widowControl w:val="0"/>
        <w:spacing w:line="360" w:lineRule="auto"/>
        <w:jc w:val="both"/>
        <w:rPr>
          <w:rFonts w:hint="eastAsia" w:ascii="宋体" w:hAnsi="宋体" w:cs="宋体"/>
          <w:color w:val="auto"/>
          <w:kern w:val="2"/>
          <w:sz w:val="32"/>
          <w:szCs w:val="28"/>
          <w:highlight w:val="none"/>
        </w:rPr>
      </w:pPr>
      <w:r>
        <w:rPr>
          <w:rFonts w:hint="eastAsia" w:ascii="宋体" w:hAnsi="宋体" w:cs="宋体"/>
          <w:b/>
          <w:color w:val="auto"/>
          <w:kern w:val="2"/>
          <w:sz w:val="28"/>
          <w:szCs w:val="28"/>
          <w:highlight w:val="none"/>
        </w:rPr>
        <w:t>日期：</w:t>
      </w:r>
      <w:r>
        <w:rPr>
          <w:rFonts w:hint="eastAsia" w:ascii="宋体" w:hAnsi="宋体" w:cs="宋体"/>
          <w:bCs/>
          <w:color w:val="auto"/>
          <w:kern w:val="2"/>
          <w:sz w:val="28"/>
          <w:szCs w:val="28"/>
          <w:highlight w:val="none"/>
          <w:u w:val="single"/>
        </w:rPr>
        <w:t xml:space="preserve">      </w:t>
      </w:r>
      <w:r>
        <w:rPr>
          <w:rFonts w:hint="eastAsia" w:ascii="宋体" w:hAnsi="宋体" w:cs="宋体"/>
          <w:b/>
          <w:color w:val="auto"/>
          <w:kern w:val="2"/>
          <w:sz w:val="28"/>
          <w:szCs w:val="28"/>
          <w:highlight w:val="none"/>
        </w:rPr>
        <w:t>年</w:t>
      </w:r>
      <w:r>
        <w:rPr>
          <w:rFonts w:hint="eastAsia" w:ascii="宋体" w:hAnsi="宋体" w:cs="宋体"/>
          <w:bCs/>
          <w:color w:val="auto"/>
          <w:kern w:val="2"/>
          <w:sz w:val="28"/>
          <w:szCs w:val="28"/>
          <w:highlight w:val="none"/>
          <w:u w:val="single"/>
        </w:rPr>
        <w:t xml:space="preserve">     </w:t>
      </w:r>
      <w:r>
        <w:rPr>
          <w:rFonts w:hint="eastAsia" w:ascii="宋体" w:hAnsi="宋体" w:cs="宋体"/>
          <w:b/>
          <w:color w:val="auto"/>
          <w:kern w:val="2"/>
          <w:sz w:val="28"/>
          <w:szCs w:val="28"/>
          <w:highlight w:val="none"/>
        </w:rPr>
        <w:t>月</w:t>
      </w:r>
      <w:r>
        <w:rPr>
          <w:rFonts w:hint="eastAsia" w:ascii="宋体" w:hAnsi="宋体" w:cs="宋体"/>
          <w:bCs/>
          <w:color w:val="auto"/>
          <w:kern w:val="2"/>
          <w:sz w:val="28"/>
          <w:szCs w:val="28"/>
          <w:highlight w:val="none"/>
          <w:u w:val="single"/>
        </w:rPr>
        <w:t xml:space="preserve">    </w:t>
      </w:r>
      <w:r>
        <w:rPr>
          <w:rFonts w:hint="eastAsia" w:ascii="宋体" w:hAnsi="宋体" w:cs="宋体"/>
          <w:b/>
          <w:color w:val="auto"/>
          <w:kern w:val="2"/>
          <w:sz w:val="28"/>
          <w:szCs w:val="28"/>
          <w:highlight w:val="none"/>
        </w:rPr>
        <w:t>日</w:t>
      </w:r>
      <w:bookmarkStart w:id="269" w:name="_Toc10610"/>
      <w:bookmarkEnd w:id="269"/>
      <w:bookmarkStart w:id="270" w:name="_Toc15277"/>
      <w:bookmarkEnd w:id="270"/>
    </w:p>
    <w:p w14:paraId="22C14464">
      <w:pPr>
        <w:rPr>
          <w:rFonts w:hint="eastAsia" w:ascii="宋体" w:hAnsi="宋体" w:cs="宋体"/>
          <w:color w:val="auto"/>
          <w:sz w:val="28"/>
          <w:szCs w:val="28"/>
          <w:highlight w:val="none"/>
        </w:rPr>
      </w:pPr>
      <w:r>
        <w:rPr>
          <w:rFonts w:hint="eastAsia" w:ascii="宋体" w:hAnsi="宋体" w:cs="宋体"/>
          <w:color w:val="auto"/>
          <w:sz w:val="28"/>
          <w:szCs w:val="28"/>
          <w:highlight w:val="none"/>
        </w:rPr>
        <w:br w:type="page"/>
      </w:r>
    </w:p>
    <w:p w14:paraId="773328AA">
      <w:pPr>
        <w:pStyle w:val="5"/>
        <w:widowControl/>
        <w:autoSpaceDE w:val="0"/>
        <w:spacing w:before="0" w:after="0" w:line="360" w:lineRule="auto"/>
        <w:jc w:val="center"/>
        <w:rPr>
          <w:rFonts w:hint="eastAsia" w:ascii="宋体" w:hAnsi="宋体" w:cs="宋体"/>
          <w:color w:val="auto"/>
          <w:sz w:val="28"/>
          <w:szCs w:val="28"/>
          <w:highlight w:val="none"/>
        </w:rPr>
      </w:pPr>
      <w:bookmarkStart w:id="271" w:name="_Toc21225"/>
      <w:r>
        <w:rPr>
          <w:rFonts w:hint="eastAsia" w:ascii="宋体" w:hAnsi="宋体" w:cs="宋体"/>
          <w:color w:val="auto"/>
          <w:sz w:val="28"/>
          <w:szCs w:val="28"/>
          <w:highlight w:val="none"/>
          <w:lang w:val="en-US" w:eastAsia="zh-CN"/>
        </w:rPr>
        <w:t>九</w:t>
      </w:r>
      <w:r>
        <w:rPr>
          <w:rFonts w:hint="eastAsia" w:ascii="宋体" w:hAnsi="宋体" w:cs="宋体"/>
          <w:color w:val="auto"/>
          <w:sz w:val="28"/>
          <w:szCs w:val="28"/>
          <w:highlight w:val="none"/>
        </w:rPr>
        <w:t>、配送服务方案</w:t>
      </w:r>
      <w:bookmarkEnd w:id="271"/>
    </w:p>
    <w:p w14:paraId="45F8E49C">
      <w:pPr>
        <w:widowControl/>
        <w:numPr>
          <w:ilvl w:val="0"/>
          <w:numId w:val="0"/>
        </w:numPr>
        <w:autoSpaceDE w:val="0"/>
        <w:spacing w:before="0" w:after="0" w:line="360" w:lineRule="auto"/>
        <w:jc w:val="center"/>
        <w:outlineLvl w:val="9"/>
        <w:rPr>
          <w:rFonts w:hint="eastAsia" w:ascii="宋体" w:hAnsi="宋体" w:eastAsia="宋体" w:cs="宋体"/>
          <w:b w:val="0"/>
          <w:bCs w:val="0"/>
          <w:color w:val="auto"/>
          <w:sz w:val="28"/>
          <w:szCs w:val="28"/>
          <w:highlight w:val="none"/>
        </w:rPr>
      </w:pPr>
      <w:bookmarkStart w:id="272" w:name="_Toc29437"/>
      <w:r>
        <w:rPr>
          <w:rFonts w:hint="eastAsia" w:ascii="宋体" w:hAnsi="宋体" w:eastAsia="宋体" w:cs="宋体"/>
          <w:b w:val="0"/>
          <w:bCs w:val="0"/>
          <w:color w:val="auto"/>
          <w:sz w:val="28"/>
          <w:szCs w:val="28"/>
          <w:highlight w:val="none"/>
          <w:lang w:val="en-US" w:eastAsia="zh-CN"/>
        </w:rPr>
        <w:t>(格式自拟)</w:t>
      </w:r>
    </w:p>
    <w:p w14:paraId="5B163D5F">
      <w:pPr>
        <w:spacing w:line="360" w:lineRule="auto"/>
        <w:ind w:firstLine="1687" w:firstLineChars="600"/>
        <w:rPr>
          <w:rFonts w:hint="eastAsia" w:ascii="宋体" w:hAnsi="宋体" w:cs="宋体"/>
          <w:b/>
          <w:color w:val="auto"/>
          <w:sz w:val="28"/>
          <w:szCs w:val="28"/>
          <w:highlight w:val="none"/>
        </w:rPr>
      </w:pPr>
    </w:p>
    <w:p w14:paraId="3A409BF3">
      <w:pPr>
        <w:pStyle w:val="5"/>
        <w:widowControl/>
        <w:autoSpaceDE w:val="0"/>
        <w:spacing w:before="0" w:after="0" w:line="360" w:lineRule="auto"/>
        <w:jc w:val="center"/>
        <w:rPr>
          <w:rFonts w:hint="eastAsia" w:ascii="宋体" w:hAnsi="宋体" w:cs="宋体"/>
          <w:color w:val="auto"/>
          <w:sz w:val="28"/>
          <w:szCs w:val="28"/>
          <w:highlight w:val="none"/>
        </w:rPr>
      </w:pPr>
      <w:bookmarkStart w:id="273" w:name="_Toc31281"/>
      <w:r>
        <w:rPr>
          <w:rFonts w:hint="eastAsia" w:ascii="宋体" w:hAnsi="宋体" w:cs="宋体"/>
          <w:color w:val="auto"/>
          <w:sz w:val="28"/>
          <w:szCs w:val="28"/>
          <w:highlight w:val="none"/>
          <w:lang w:val="en-US" w:eastAsia="zh-CN"/>
        </w:rPr>
        <w:t>十</w:t>
      </w:r>
      <w:r>
        <w:rPr>
          <w:rFonts w:hint="eastAsia" w:ascii="宋体" w:hAnsi="宋体" w:cs="宋体"/>
          <w:color w:val="auto"/>
          <w:sz w:val="28"/>
          <w:szCs w:val="28"/>
          <w:highlight w:val="none"/>
        </w:rPr>
        <w:t>、服务质量承诺及保证措施、违约处罚措施</w:t>
      </w:r>
      <w:bookmarkEnd w:id="273"/>
    </w:p>
    <w:p w14:paraId="7CDD87FC">
      <w:pPr>
        <w:widowControl/>
        <w:numPr>
          <w:ilvl w:val="0"/>
          <w:numId w:val="0"/>
        </w:numPr>
        <w:autoSpaceDE w:val="0"/>
        <w:spacing w:before="0" w:after="0" w:line="360" w:lineRule="auto"/>
        <w:jc w:val="center"/>
        <w:outlineLvl w:val="9"/>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(格式自拟)</w:t>
      </w:r>
    </w:p>
    <w:p w14:paraId="783E3BAB">
      <w:pPr>
        <w:widowControl/>
        <w:numPr>
          <w:ilvl w:val="0"/>
          <w:numId w:val="0"/>
        </w:numPr>
        <w:autoSpaceDE w:val="0"/>
        <w:spacing w:before="0" w:after="0" w:line="360" w:lineRule="auto"/>
        <w:jc w:val="both"/>
        <w:outlineLvl w:val="9"/>
        <w:rPr>
          <w:rFonts w:hint="eastAsia" w:ascii="宋体" w:hAnsi="宋体" w:eastAsia="宋体" w:cs="宋体"/>
          <w:b w:val="0"/>
          <w:bCs w:val="0"/>
          <w:color w:val="auto"/>
          <w:sz w:val="28"/>
          <w:szCs w:val="28"/>
          <w:highlight w:val="none"/>
          <w:lang w:val="en-US" w:eastAsia="zh-CN"/>
        </w:rPr>
      </w:pPr>
    </w:p>
    <w:p w14:paraId="154FDD0C">
      <w:pPr>
        <w:pStyle w:val="5"/>
        <w:widowControl/>
        <w:autoSpaceDE w:val="0"/>
        <w:spacing w:before="0" w:after="0" w:line="360" w:lineRule="auto"/>
        <w:jc w:val="center"/>
        <w:rPr>
          <w:rFonts w:hint="eastAsia" w:ascii="宋体" w:hAnsi="宋体" w:cs="宋体"/>
          <w:color w:val="auto"/>
          <w:sz w:val="28"/>
          <w:szCs w:val="28"/>
          <w:highlight w:val="none"/>
        </w:rPr>
      </w:pPr>
      <w:bookmarkStart w:id="274" w:name="_Toc13260"/>
      <w:r>
        <w:rPr>
          <w:rFonts w:hint="eastAsia" w:ascii="宋体" w:hAnsi="宋体" w:cs="宋体"/>
          <w:color w:val="auto"/>
          <w:sz w:val="28"/>
          <w:szCs w:val="28"/>
          <w:highlight w:val="none"/>
          <w:lang w:val="en-US" w:eastAsia="zh-CN"/>
        </w:rPr>
        <w:t>十一</w:t>
      </w:r>
      <w:r>
        <w:rPr>
          <w:rFonts w:hint="eastAsia" w:ascii="宋体" w:hAnsi="宋体" w:cs="宋体"/>
          <w:color w:val="auto"/>
          <w:sz w:val="28"/>
          <w:szCs w:val="28"/>
          <w:highlight w:val="none"/>
        </w:rPr>
        <w:t>、应急处理方案</w:t>
      </w:r>
      <w:bookmarkEnd w:id="274"/>
    </w:p>
    <w:p w14:paraId="66E691C1">
      <w:pPr>
        <w:widowControl/>
        <w:numPr>
          <w:ilvl w:val="0"/>
          <w:numId w:val="0"/>
        </w:numPr>
        <w:autoSpaceDE w:val="0"/>
        <w:spacing w:before="0" w:after="0" w:line="360" w:lineRule="auto"/>
        <w:jc w:val="center"/>
        <w:outlineLvl w:val="9"/>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(格式自拟)</w:t>
      </w:r>
    </w:p>
    <w:p w14:paraId="1D5871C7">
      <w:pPr>
        <w:widowControl/>
        <w:numPr>
          <w:ilvl w:val="0"/>
          <w:numId w:val="0"/>
        </w:numPr>
        <w:autoSpaceDE w:val="0"/>
        <w:spacing w:before="0" w:after="0" w:line="360" w:lineRule="auto"/>
        <w:jc w:val="center"/>
        <w:outlineLvl w:val="9"/>
        <w:rPr>
          <w:rFonts w:hint="eastAsia" w:ascii="宋体" w:hAnsi="宋体" w:eastAsia="宋体" w:cs="宋体"/>
          <w:b w:val="0"/>
          <w:bCs w:val="0"/>
          <w:color w:val="auto"/>
          <w:sz w:val="28"/>
          <w:szCs w:val="28"/>
          <w:highlight w:val="none"/>
          <w:lang w:val="en-US" w:eastAsia="zh-CN"/>
        </w:rPr>
      </w:pPr>
    </w:p>
    <w:p w14:paraId="06FB9CCA">
      <w:pPr>
        <w:pStyle w:val="5"/>
        <w:widowControl/>
        <w:autoSpaceDE w:val="0"/>
        <w:spacing w:before="0" w:after="0" w:line="360" w:lineRule="auto"/>
        <w:jc w:val="center"/>
        <w:rPr>
          <w:rFonts w:hint="eastAsia" w:ascii="宋体" w:hAnsi="宋体" w:cs="宋体"/>
          <w:color w:val="auto"/>
          <w:sz w:val="28"/>
          <w:szCs w:val="28"/>
          <w:highlight w:val="none"/>
        </w:rPr>
      </w:pPr>
      <w:bookmarkStart w:id="275" w:name="_Toc29268"/>
      <w:r>
        <w:rPr>
          <w:rFonts w:hint="eastAsia" w:ascii="宋体" w:hAnsi="宋体" w:cs="宋体"/>
          <w:color w:val="auto"/>
          <w:sz w:val="28"/>
          <w:szCs w:val="28"/>
          <w:highlight w:val="none"/>
          <w:lang w:val="en-US" w:eastAsia="zh-CN"/>
        </w:rPr>
        <w:t>十二</w:t>
      </w:r>
      <w:r>
        <w:rPr>
          <w:rFonts w:hint="eastAsia" w:ascii="宋体" w:hAnsi="宋体" w:cs="宋体"/>
          <w:color w:val="auto"/>
          <w:sz w:val="28"/>
          <w:szCs w:val="28"/>
          <w:highlight w:val="none"/>
        </w:rPr>
        <w:t>、售后服务方案</w:t>
      </w:r>
      <w:bookmarkEnd w:id="275"/>
    </w:p>
    <w:p w14:paraId="12F3D11F">
      <w:pPr>
        <w:widowControl/>
        <w:numPr>
          <w:ilvl w:val="0"/>
          <w:numId w:val="0"/>
        </w:numPr>
        <w:autoSpaceDE w:val="0"/>
        <w:spacing w:before="0" w:after="0" w:line="360" w:lineRule="auto"/>
        <w:jc w:val="center"/>
        <w:outlineLvl w:val="9"/>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(格式自拟)</w:t>
      </w:r>
    </w:p>
    <w:p w14:paraId="3AE78C26">
      <w:pPr>
        <w:widowControl/>
        <w:numPr>
          <w:ilvl w:val="0"/>
          <w:numId w:val="0"/>
        </w:numPr>
        <w:autoSpaceDE w:val="0"/>
        <w:spacing w:before="0" w:after="0" w:line="360" w:lineRule="auto"/>
        <w:jc w:val="center"/>
        <w:outlineLvl w:val="9"/>
        <w:rPr>
          <w:rFonts w:hint="eastAsia" w:ascii="宋体" w:hAnsi="宋体" w:eastAsia="宋体" w:cs="宋体"/>
          <w:b w:val="0"/>
          <w:bCs w:val="0"/>
          <w:color w:val="auto"/>
          <w:sz w:val="28"/>
          <w:szCs w:val="28"/>
          <w:highlight w:val="none"/>
          <w:lang w:val="en-US" w:eastAsia="zh-CN"/>
        </w:rPr>
      </w:pPr>
    </w:p>
    <w:p w14:paraId="7E288E3B">
      <w:pPr>
        <w:pStyle w:val="5"/>
        <w:widowControl/>
        <w:autoSpaceDE w:val="0"/>
        <w:spacing w:before="0" w:after="0" w:line="360" w:lineRule="auto"/>
        <w:jc w:val="center"/>
        <w:rPr>
          <w:rFonts w:hint="eastAsia" w:ascii="宋体" w:hAnsi="宋体" w:cs="宋体"/>
          <w:color w:val="auto"/>
          <w:sz w:val="28"/>
          <w:szCs w:val="28"/>
          <w:highlight w:val="none"/>
        </w:rPr>
      </w:pPr>
      <w:bookmarkStart w:id="276" w:name="_Toc18340"/>
      <w:r>
        <w:rPr>
          <w:rFonts w:hint="eastAsia" w:ascii="宋体" w:hAnsi="宋体" w:cs="宋体"/>
          <w:color w:val="auto"/>
          <w:sz w:val="28"/>
          <w:szCs w:val="28"/>
          <w:highlight w:val="none"/>
          <w:lang w:val="en-US" w:eastAsia="zh-CN"/>
        </w:rPr>
        <w:t>十三</w:t>
      </w:r>
      <w:r>
        <w:rPr>
          <w:rFonts w:hint="eastAsia" w:ascii="宋体" w:hAnsi="宋体" w:cs="宋体"/>
          <w:color w:val="auto"/>
          <w:sz w:val="28"/>
          <w:szCs w:val="28"/>
          <w:highlight w:val="none"/>
        </w:rPr>
        <w:t>、技术培训计划及措施</w:t>
      </w:r>
      <w:bookmarkEnd w:id="276"/>
    </w:p>
    <w:p w14:paraId="58ED6005">
      <w:pPr>
        <w:widowControl/>
        <w:numPr>
          <w:ilvl w:val="0"/>
          <w:numId w:val="0"/>
        </w:numPr>
        <w:autoSpaceDE w:val="0"/>
        <w:spacing w:before="0" w:after="0" w:line="360" w:lineRule="auto"/>
        <w:jc w:val="center"/>
        <w:outlineLvl w:val="9"/>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(格式自拟)</w:t>
      </w:r>
    </w:p>
    <w:p w14:paraId="5D2BE8FD">
      <w:pPr>
        <w:widowControl/>
        <w:numPr>
          <w:ilvl w:val="0"/>
          <w:numId w:val="0"/>
        </w:numPr>
        <w:autoSpaceDE w:val="0"/>
        <w:spacing w:before="0" w:after="0" w:line="360" w:lineRule="auto"/>
        <w:jc w:val="center"/>
        <w:outlineLvl w:val="9"/>
        <w:rPr>
          <w:rFonts w:hint="eastAsia" w:ascii="宋体" w:hAnsi="宋体" w:eastAsia="宋体" w:cs="宋体"/>
          <w:b w:val="0"/>
          <w:bCs w:val="0"/>
          <w:color w:val="auto"/>
          <w:sz w:val="28"/>
          <w:szCs w:val="28"/>
          <w:highlight w:val="none"/>
          <w:lang w:val="en-US" w:eastAsia="zh-CN"/>
        </w:rPr>
      </w:pPr>
    </w:p>
    <w:p w14:paraId="19B31069">
      <w:pPr>
        <w:pStyle w:val="5"/>
        <w:widowControl/>
        <w:autoSpaceDE w:val="0"/>
        <w:spacing w:before="0" w:after="0" w:line="360" w:lineRule="auto"/>
        <w:jc w:val="center"/>
        <w:rPr>
          <w:rFonts w:hint="eastAsia" w:ascii="宋体" w:hAnsi="宋体" w:cs="宋体"/>
          <w:color w:val="auto"/>
          <w:sz w:val="28"/>
          <w:szCs w:val="28"/>
          <w:highlight w:val="none"/>
        </w:rPr>
      </w:pPr>
      <w:bookmarkStart w:id="277" w:name="_Toc23597"/>
      <w:r>
        <w:rPr>
          <w:rFonts w:hint="eastAsia" w:ascii="宋体" w:hAnsi="宋体" w:cs="宋体"/>
          <w:color w:val="auto"/>
          <w:sz w:val="28"/>
          <w:szCs w:val="28"/>
          <w:highlight w:val="none"/>
          <w:lang w:val="en-US" w:eastAsia="zh-CN"/>
        </w:rPr>
        <w:t>十四</w:t>
      </w:r>
      <w:r>
        <w:rPr>
          <w:rFonts w:hint="eastAsia" w:ascii="宋体" w:hAnsi="宋体" w:cs="宋体"/>
          <w:color w:val="auto"/>
          <w:sz w:val="28"/>
          <w:szCs w:val="28"/>
          <w:highlight w:val="none"/>
        </w:rPr>
        <w:t>、仓储能力</w:t>
      </w:r>
      <w:bookmarkEnd w:id="277"/>
    </w:p>
    <w:p w14:paraId="305F3BCF">
      <w:pPr>
        <w:widowControl/>
        <w:numPr>
          <w:ilvl w:val="0"/>
          <w:numId w:val="0"/>
        </w:numPr>
        <w:autoSpaceDE w:val="0"/>
        <w:spacing w:before="0" w:after="0" w:line="360" w:lineRule="auto"/>
        <w:jc w:val="center"/>
        <w:outlineLvl w:val="9"/>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(格式自拟)</w:t>
      </w:r>
    </w:p>
    <w:p w14:paraId="355B8C1E">
      <w:pPr>
        <w:pStyle w:val="83"/>
        <w:rPr>
          <w:rFonts w:hint="eastAsia"/>
          <w:color w:val="auto"/>
          <w:highlight w:val="none"/>
          <w:lang w:val="en-US" w:eastAsia="zh-CN"/>
        </w:rPr>
      </w:pPr>
    </w:p>
    <w:p w14:paraId="223B98CF">
      <w:pPr>
        <w:pStyle w:val="5"/>
        <w:widowControl/>
        <w:autoSpaceDE w:val="0"/>
        <w:spacing w:before="0" w:after="0" w:line="360" w:lineRule="auto"/>
        <w:jc w:val="center"/>
        <w:rPr>
          <w:rFonts w:hint="eastAsia" w:ascii="宋体" w:hAnsi="宋体" w:cs="宋体"/>
          <w:color w:val="auto"/>
          <w:sz w:val="28"/>
          <w:szCs w:val="28"/>
          <w:highlight w:val="none"/>
        </w:rPr>
      </w:pPr>
      <w:bookmarkStart w:id="278" w:name="_Toc19354"/>
      <w:r>
        <w:rPr>
          <w:rFonts w:hint="eastAsia" w:ascii="宋体" w:hAnsi="宋体" w:cs="宋体"/>
          <w:color w:val="auto"/>
          <w:sz w:val="28"/>
          <w:szCs w:val="28"/>
          <w:highlight w:val="none"/>
          <w:lang w:val="en-US" w:eastAsia="zh-CN"/>
        </w:rPr>
        <w:t>十五</w:t>
      </w:r>
      <w:r>
        <w:rPr>
          <w:rFonts w:hint="eastAsia" w:ascii="宋体" w:hAnsi="宋体" w:cs="宋体"/>
          <w:color w:val="auto"/>
          <w:sz w:val="28"/>
          <w:szCs w:val="28"/>
          <w:highlight w:val="none"/>
        </w:rPr>
        <w:t>、项目人员保障方案</w:t>
      </w:r>
      <w:bookmarkEnd w:id="278"/>
    </w:p>
    <w:p w14:paraId="52E2BB35">
      <w:pPr>
        <w:widowControl/>
        <w:numPr>
          <w:ilvl w:val="0"/>
          <w:numId w:val="0"/>
        </w:numPr>
        <w:autoSpaceDE w:val="0"/>
        <w:spacing w:before="0" w:after="0" w:line="360" w:lineRule="auto"/>
        <w:jc w:val="center"/>
        <w:outlineLvl w:val="9"/>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(格式自拟)</w:t>
      </w:r>
    </w:p>
    <w:p w14:paraId="3EBE08E8">
      <w:pPr>
        <w:spacing w:line="360" w:lineRule="auto"/>
        <w:ind w:firstLine="1687" w:firstLineChars="600"/>
        <w:rPr>
          <w:rFonts w:hint="eastAsia" w:ascii="宋体" w:hAnsi="宋体" w:cs="宋体"/>
          <w:b/>
          <w:color w:val="auto"/>
          <w:sz w:val="28"/>
          <w:szCs w:val="28"/>
          <w:highlight w:val="none"/>
        </w:rPr>
      </w:pPr>
    </w:p>
    <w:p w14:paraId="5594CDBF">
      <w:pPr>
        <w:spacing w:line="360" w:lineRule="auto"/>
        <w:ind w:firstLine="1687" w:firstLineChars="600"/>
        <w:rPr>
          <w:rFonts w:hint="eastAsia" w:ascii="宋体" w:hAnsi="宋体" w:cs="宋体"/>
          <w:b/>
          <w:color w:val="auto"/>
          <w:sz w:val="28"/>
          <w:szCs w:val="28"/>
          <w:highlight w:val="none"/>
        </w:rPr>
      </w:pPr>
    </w:p>
    <w:bookmarkEnd w:id="272"/>
    <w:p w14:paraId="49048278">
      <w:pPr>
        <w:spacing w:before="78" w:line="219" w:lineRule="auto"/>
        <w:rPr>
          <w:rFonts w:ascii="宋体" w:hAnsi="宋体" w:cs="宋体"/>
          <w:color w:val="auto"/>
          <w:spacing w:val="-5"/>
          <w:sz w:val="24"/>
          <w:szCs w:val="24"/>
          <w:highlight w:val="none"/>
        </w:rPr>
      </w:pPr>
    </w:p>
    <w:p w14:paraId="5D3BB940">
      <w:pPr>
        <w:spacing w:before="78" w:line="219" w:lineRule="auto"/>
        <w:ind w:left="4011"/>
        <w:rPr>
          <w:rFonts w:ascii="宋体" w:hAnsi="宋体" w:cs="宋体"/>
          <w:color w:val="auto"/>
          <w:spacing w:val="-5"/>
          <w:sz w:val="24"/>
          <w:szCs w:val="24"/>
          <w:highlight w:val="none"/>
        </w:rPr>
      </w:pPr>
    </w:p>
    <w:p w14:paraId="6ED1A4A1">
      <w:pPr>
        <w:spacing w:before="78" w:line="219" w:lineRule="auto"/>
        <w:ind w:left="4011"/>
        <w:rPr>
          <w:rFonts w:hint="eastAsia" w:ascii="宋体" w:hAnsi="宋体" w:cs="宋体"/>
          <w:color w:val="auto"/>
          <w:spacing w:val="-5"/>
          <w:sz w:val="24"/>
          <w:szCs w:val="24"/>
          <w:highlight w:val="none"/>
        </w:rPr>
      </w:pPr>
      <w:r>
        <w:rPr>
          <w:rFonts w:hint="eastAsia" w:ascii="宋体" w:hAnsi="宋体" w:cs="宋体"/>
          <w:color w:val="auto"/>
          <w:spacing w:val="-5"/>
          <w:sz w:val="24"/>
          <w:szCs w:val="24"/>
          <w:highlight w:val="none"/>
        </w:rPr>
        <w:br w:type="page"/>
      </w:r>
    </w:p>
    <w:p w14:paraId="6507AFAC">
      <w:pPr>
        <w:spacing w:before="78" w:line="219" w:lineRule="auto"/>
        <w:ind w:left="4011"/>
        <w:rPr>
          <w:rFonts w:ascii="宋体" w:hAnsi="宋体" w:cs="宋体"/>
          <w:color w:val="auto"/>
          <w:spacing w:val="-5"/>
          <w:sz w:val="24"/>
          <w:szCs w:val="24"/>
          <w:highlight w:val="none"/>
        </w:rPr>
      </w:pPr>
    </w:p>
    <w:p w14:paraId="7B1EEB81">
      <w:pPr>
        <w:pStyle w:val="5"/>
        <w:widowControl/>
        <w:autoSpaceDE w:val="0"/>
        <w:spacing w:before="0" w:after="0" w:line="360" w:lineRule="auto"/>
        <w:jc w:val="center"/>
        <w:rPr>
          <w:rFonts w:hint="eastAsia" w:ascii="宋体" w:hAnsi="宋体" w:cs="宋体"/>
          <w:color w:val="auto"/>
          <w:sz w:val="28"/>
          <w:szCs w:val="28"/>
          <w:highlight w:val="none"/>
        </w:rPr>
      </w:pPr>
      <w:bookmarkStart w:id="279" w:name="_Toc30440"/>
      <w:r>
        <w:rPr>
          <w:rFonts w:hint="eastAsia" w:ascii="宋体" w:hAnsi="宋体" w:cs="宋体"/>
          <w:color w:val="auto"/>
          <w:sz w:val="28"/>
          <w:szCs w:val="28"/>
          <w:highlight w:val="none"/>
        </w:rPr>
        <w:t>十</w:t>
      </w:r>
      <w:r>
        <w:rPr>
          <w:rFonts w:hint="eastAsia" w:ascii="宋体" w:hAnsi="宋体" w:cs="宋体"/>
          <w:color w:val="auto"/>
          <w:sz w:val="28"/>
          <w:szCs w:val="28"/>
          <w:highlight w:val="none"/>
          <w:lang w:val="en-US" w:eastAsia="zh-CN"/>
        </w:rPr>
        <w:t>六</w:t>
      </w:r>
      <w:r>
        <w:rPr>
          <w:rFonts w:hint="eastAsia" w:ascii="宋体" w:hAnsi="宋体" w:cs="宋体"/>
          <w:color w:val="auto"/>
          <w:sz w:val="28"/>
          <w:szCs w:val="28"/>
          <w:highlight w:val="none"/>
        </w:rPr>
        <w:t>、类似业绩</w:t>
      </w:r>
      <w:bookmarkEnd w:id="279"/>
    </w:p>
    <w:tbl>
      <w:tblPr>
        <w:tblStyle w:val="33"/>
        <w:tblW w:w="9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2107"/>
        <w:gridCol w:w="1254"/>
        <w:gridCol w:w="1685"/>
        <w:gridCol w:w="1442"/>
        <w:gridCol w:w="1442"/>
        <w:gridCol w:w="1049"/>
      </w:tblGrid>
      <w:tr w14:paraId="3633D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977" w:type="dxa"/>
            <w:vAlign w:val="center"/>
          </w:tcPr>
          <w:p w14:paraId="4D55A1AD">
            <w:pPr>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2107" w:type="dxa"/>
            <w:vAlign w:val="center"/>
          </w:tcPr>
          <w:p w14:paraId="58D48269">
            <w:pPr>
              <w:jc w:val="center"/>
              <w:rPr>
                <w:rFonts w:hint="eastAsia" w:ascii="宋体" w:hAnsi="宋体" w:cs="宋体"/>
                <w:color w:val="auto"/>
                <w:sz w:val="24"/>
                <w:highlight w:val="none"/>
              </w:rPr>
            </w:pPr>
            <w:r>
              <w:rPr>
                <w:rFonts w:hint="eastAsia" w:ascii="宋体" w:hAnsi="宋体" w:cs="宋体"/>
                <w:color w:val="auto"/>
                <w:sz w:val="24"/>
                <w:highlight w:val="none"/>
              </w:rPr>
              <w:t>合同名称</w:t>
            </w:r>
          </w:p>
        </w:tc>
        <w:tc>
          <w:tcPr>
            <w:tcW w:w="1254" w:type="dxa"/>
            <w:vAlign w:val="center"/>
          </w:tcPr>
          <w:p w14:paraId="780C0E4B">
            <w:pPr>
              <w:jc w:val="center"/>
              <w:rPr>
                <w:rFonts w:hint="eastAsia" w:ascii="宋体" w:hAnsi="宋体" w:cs="宋体"/>
                <w:color w:val="auto"/>
                <w:sz w:val="24"/>
                <w:highlight w:val="none"/>
              </w:rPr>
            </w:pPr>
            <w:r>
              <w:rPr>
                <w:rFonts w:hint="eastAsia" w:ascii="宋体" w:hAnsi="宋体" w:cs="宋体"/>
                <w:color w:val="auto"/>
                <w:sz w:val="24"/>
                <w:highlight w:val="none"/>
              </w:rPr>
              <w:t>合同总价</w:t>
            </w:r>
          </w:p>
        </w:tc>
        <w:tc>
          <w:tcPr>
            <w:tcW w:w="1685" w:type="dxa"/>
            <w:vAlign w:val="center"/>
          </w:tcPr>
          <w:p w14:paraId="71936C0D">
            <w:pPr>
              <w:jc w:val="center"/>
              <w:rPr>
                <w:rFonts w:hint="eastAsia" w:ascii="宋体" w:hAnsi="宋体" w:cs="宋体"/>
                <w:color w:val="auto"/>
                <w:sz w:val="24"/>
                <w:highlight w:val="none"/>
              </w:rPr>
            </w:pPr>
            <w:r>
              <w:rPr>
                <w:rFonts w:hint="eastAsia" w:ascii="宋体" w:hAnsi="宋体" w:cs="宋体"/>
                <w:color w:val="auto"/>
                <w:sz w:val="24"/>
                <w:highlight w:val="none"/>
              </w:rPr>
              <w:t>使用单位名称</w:t>
            </w:r>
          </w:p>
        </w:tc>
        <w:tc>
          <w:tcPr>
            <w:tcW w:w="1442" w:type="dxa"/>
          </w:tcPr>
          <w:p w14:paraId="00162BD8">
            <w:pPr>
              <w:jc w:val="center"/>
              <w:rPr>
                <w:rFonts w:hint="eastAsia" w:ascii="宋体" w:hAnsi="宋体" w:cs="宋体"/>
                <w:color w:val="auto"/>
                <w:sz w:val="24"/>
                <w:highlight w:val="none"/>
              </w:rPr>
            </w:pPr>
            <w:r>
              <w:rPr>
                <w:rFonts w:hint="eastAsia" w:ascii="宋体" w:hAnsi="宋体" w:cs="宋体"/>
                <w:color w:val="auto"/>
                <w:sz w:val="24"/>
                <w:highlight w:val="none"/>
              </w:rPr>
              <w:t>使用单位联系人及联系电话</w:t>
            </w:r>
          </w:p>
        </w:tc>
        <w:tc>
          <w:tcPr>
            <w:tcW w:w="1442" w:type="dxa"/>
            <w:vAlign w:val="center"/>
          </w:tcPr>
          <w:p w14:paraId="4E5A3A44">
            <w:pPr>
              <w:jc w:val="center"/>
              <w:rPr>
                <w:rFonts w:hint="eastAsia" w:ascii="宋体" w:hAnsi="宋体" w:cs="宋体"/>
                <w:color w:val="auto"/>
                <w:sz w:val="24"/>
                <w:highlight w:val="none"/>
              </w:rPr>
            </w:pPr>
            <w:r>
              <w:rPr>
                <w:rFonts w:hint="eastAsia" w:ascii="宋体" w:hAnsi="宋体" w:cs="宋体"/>
                <w:color w:val="auto"/>
                <w:sz w:val="24"/>
                <w:highlight w:val="none"/>
              </w:rPr>
              <w:t>签订合同时间</w:t>
            </w:r>
          </w:p>
        </w:tc>
        <w:tc>
          <w:tcPr>
            <w:tcW w:w="1049" w:type="dxa"/>
            <w:vAlign w:val="center"/>
          </w:tcPr>
          <w:p w14:paraId="266DFAF1">
            <w:pPr>
              <w:jc w:val="center"/>
              <w:rPr>
                <w:rFonts w:hint="eastAsia" w:ascii="宋体" w:hAnsi="宋体" w:cs="宋体"/>
                <w:color w:val="auto"/>
                <w:sz w:val="24"/>
                <w:highlight w:val="none"/>
              </w:rPr>
            </w:pPr>
            <w:r>
              <w:rPr>
                <w:rFonts w:hint="eastAsia" w:ascii="宋体" w:hAnsi="宋体" w:cs="宋体"/>
                <w:color w:val="auto"/>
                <w:sz w:val="24"/>
                <w:highlight w:val="none"/>
              </w:rPr>
              <w:t>备注</w:t>
            </w:r>
          </w:p>
        </w:tc>
      </w:tr>
      <w:tr w14:paraId="3B23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dxa"/>
            <w:vAlign w:val="center"/>
          </w:tcPr>
          <w:p w14:paraId="0B688E2D">
            <w:pPr>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107" w:type="dxa"/>
            <w:vAlign w:val="center"/>
          </w:tcPr>
          <w:p w14:paraId="238B0576">
            <w:pPr>
              <w:jc w:val="center"/>
              <w:rPr>
                <w:rFonts w:hint="eastAsia" w:ascii="宋体" w:hAnsi="宋体" w:cs="宋体"/>
                <w:color w:val="auto"/>
                <w:sz w:val="24"/>
                <w:highlight w:val="none"/>
              </w:rPr>
            </w:pPr>
          </w:p>
        </w:tc>
        <w:tc>
          <w:tcPr>
            <w:tcW w:w="1254" w:type="dxa"/>
            <w:vAlign w:val="center"/>
          </w:tcPr>
          <w:p w14:paraId="5C9A5024">
            <w:pPr>
              <w:jc w:val="center"/>
              <w:rPr>
                <w:rFonts w:hint="eastAsia" w:ascii="宋体" w:hAnsi="宋体" w:cs="宋体"/>
                <w:color w:val="auto"/>
                <w:sz w:val="24"/>
                <w:highlight w:val="none"/>
              </w:rPr>
            </w:pPr>
          </w:p>
        </w:tc>
        <w:tc>
          <w:tcPr>
            <w:tcW w:w="1685" w:type="dxa"/>
            <w:vAlign w:val="center"/>
          </w:tcPr>
          <w:p w14:paraId="220DF413">
            <w:pPr>
              <w:jc w:val="center"/>
              <w:rPr>
                <w:rFonts w:hint="eastAsia" w:ascii="宋体" w:hAnsi="宋体" w:cs="宋体"/>
                <w:color w:val="auto"/>
                <w:sz w:val="24"/>
                <w:highlight w:val="none"/>
              </w:rPr>
            </w:pPr>
          </w:p>
        </w:tc>
        <w:tc>
          <w:tcPr>
            <w:tcW w:w="1442" w:type="dxa"/>
          </w:tcPr>
          <w:p w14:paraId="25BCD6B7">
            <w:pPr>
              <w:jc w:val="center"/>
              <w:rPr>
                <w:rFonts w:hint="eastAsia" w:ascii="宋体" w:hAnsi="宋体" w:cs="宋体"/>
                <w:color w:val="auto"/>
                <w:sz w:val="24"/>
                <w:highlight w:val="none"/>
              </w:rPr>
            </w:pPr>
          </w:p>
        </w:tc>
        <w:tc>
          <w:tcPr>
            <w:tcW w:w="1442" w:type="dxa"/>
            <w:vAlign w:val="center"/>
          </w:tcPr>
          <w:p w14:paraId="573E4DE8">
            <w:pPr>
              <w:jc w:val="center"/>
              <w:rPr>
                <w:rFonts w:hint="eastAsia" w:ascii="宋体" w:hAnsi="宋体" w:cs="宋体"/>
                <w:color w:val="auto"/>
                <w:sz w:val="24"/>
                <w:highlight w:val="none"/>
              </w:rPr>
            </w:pPr>
          </w:p>
        </w:tc>
        <w:tc>
          <w:tcPr>
            <w:tcW w:w="1049" w:type="dxa"/>
            <w:vAlign w:val="center"/>
          </w:tcPr>
          <w:p w14:paraId="076EBF63">
            <w:pPr>
              <w:jc w:val="center"/>
              <w:rPr>
                <w:rFonts w:hint="eastAsia" w:ascii="宋体" w:hAnsi="宋体" w:cs="宋体"/>
                <w:color w:val="auto"/>
                <w:sz w:val="24"/>
                <w:highlight w:val="none"/>
              </w:rPr>
            </w:pPr>
          </w:p>
        </w:tc>
      </w:tr>
      <w:tr w14:paraId="5E9D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dxa"/>
            <w:vAlign w:val="center"/>
          </w:tcPr>
          <w:p w14:paraId="5C1B15F0">
            <w:pPr>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2107" w:type="dxa"/>
            <w:vAlign w:val="center"/>
          </w:tcPr>
          <w:p w14:paraId="4929646E">
            <w:pPr>
              <w:jc w:val="center"/>
              <w:rPr>
                <w:rFonts w:hint="eastAsia" w:ascii="宋体" w:hAnsi="宋体" w:cs="宋体"/>
                <w:color w:val="auto"/>
                <w:sz w:val="24"/>
                <w:highlight w:val="none"/>
              </w:rPr>
            </w:pPr>
          </w:p>
        </w:tc>
        <w:tc>
          <w:tcPr>
            <w:tcW w:w="1254" w:type="dxa"/>
            <w:vAlign w:val="center"/>
          </w:tcPr>
          <w:p w14:paraId="619E8EA7">
            <w:pPr>
              <w:jc w:val="center"/>
              <w:rPr>
                <w:rFonts w:hint="eastAsia" w:ascii="宋体" w:hAnsi="宋体" w:cs="宋体"/>
                <w:color w:val="auto"/>
                <w:sz w:val="24"/>
                <w:highlight w:val="none"/>
              </w:rPr>
            </w:pPr>
          </w:p>
        </w:tc>
        <w:tc>
          <w:tcPr>
            <w:tcW w:w="1685" w:type="dxa"/>
            <w:vAlign w:val="center"/>
          </w:tcPr>
          <w:p w14:paraId="33C6A414">
            <w:pPr>
              <w:rPr>
                <w:rFonts w:hint="eastAsia" w:ascii="宋体" w:hAnsi="宋体" w:cs="宋体"/>
                <w:color w:val="auto"/>
                <w:sz w:val="24"/>
                <w:highlight w:val="none"/>
              </w:rPr>
            </w:pPr>
          </w:p>
        </w:tc>
        <w:tc>
          <w:tcPr>
            <w:tcW w:w="1442" w:type="dxa"/>
          </w:tcPr>
          <w:p w14:paraId="7056D837">
            <w:pPr>
              <w:jc w:val="center"/>
              <w:rPr>
                <w:rFonts w:hint="eastAsia" w:ascii="宋体" w:hAnsi="宋体" w:cs="宋体"/>
                <w:color w:val="auto"/>
                <w:sz w:val="24"/>
                <w:highlight w:val="none"/>
              </w:rPr>
            </w:pPr>
          </w:p>
        </w:tc>
        <w:tc>
          <w:tcPr>
            <w:tcW w:w="1442" w:type="dxa"/>
            <w:vAlign w:val="center"/>
          </w:tcPr>
          <w:p w14:paraId="16BD1E54">
            <w:pPr>
              <w:jc w:val="center"/>
              <w:rPr>
                <w:rFonts w:hint="eastAsia" w:ascii="宋体" w:hAnsi="宋体" w:cs="宋体"/>
                <w:color w:val="auto"/>
                <w:sz w:val="24"/>
                <w:highlight w:val="none"/>
              </w:rPr>
            </w:pPr>
          </w:p>
        </w:tc>
        <w:tc>
          <w:tcPr>
            <w:tcW w:w="1049" w:type="dxa"/>
            <w:vAlign w:val="center"/>
          </w:tcPr>
          <w:p w14:paraId="0C397C23">
            <w:pPr>
              <w:jc w:val="center"/>
              <w:rPr>
                <w:rFonts w:hint="eastAsia" w:ascii="宋体" w:hAnsi="宋体" w:cs="宋体"/>
                <w:color w:val="auto"/>
                <w:sz w:val="24"/>
                <w:highlight w:val="none"/>
              </w:rPr>
            </w:pPr>
          </w:p>
        </w:tc>
      </w:tr>
      <w:tr w14:paraId="7EED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dxa"/>
            <w:vAlign w:val="center"/>
          </w:tcPr>
          <w:p w14:paraId="1FABA416">
            <w:pPr>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2107" w:type="dxa"/>
            <w:vAlign w:val="center"/>
          </w:tcPr>
          <w:p w14:paraId="30B6F1F5">
            <w:pPr>
              <w:jc w:val="center"/>
              <w:rPr>
                <w:rFonts w:hint="eastAsia" w:ascii="宋体" w:hAnsi="宋体" w:cs="宋体"/>
                <w:color w:val="auto"/>
                <w:sz w:val="24"/>
                <w:highlight w:val="none"/>
              </w:rPr>
            </w:pPr>
          </w:p>
        </w:tc>
        <w:tc>
          <w:tcPr>
            <w:tcW w:w="1254" w:type="dxa"/>
            <w:vAlign w:val="center"/>
          </w:tcPr>
          <w:p w14:paraId="0BCC126D">
            <w:pPr>
              <w:jc w:val="center"/>
              <w:rPr>
                <w:rFonts w:hint="eastAsia" w:ascii="宋体" w:hAnsi="宋体" w:cs="宋体"/>
                <w:color w:val="auto"/>
                <w:sz w:val="24"/>
                <w:highlight w:val="none"/>
              </w:rPr>
            </w:pPr>
          </w:p>
        </w:tc>
        <w:tc>
          <w:tcPr>
            <w:tcW w:w="1685" w:type="dxa"/>
            <w:vAlign w:val="center"/>
          </w:tcPr>
          <w:p w14:paraId="4BAA4A17">
            <w:pPr>
              <w:jc w:val="center"/>
              <w:rPr>
                <w:rFonts w:hint="eastAsia" w:ascii="宋体" w:hAnsi="宋体" w:cs="宋体"/>
                <w:color w:val="auto"/>
                <w:sz w:val="24"/>
                <w:highlight w:val="none"/>
              </w:rPr>
            </w:pPr>
          </w:p>
        </w:tc>
        <w:tc>
          <w:tcPr>
            <w:tcW w:w="1442" w:type="dxa"/>
          </w:tcPr>
          <w:p w14:paraId="3ED34ADF">
            <w:pPr>
              <w:jc w:val="center"/>
              <w:rPr>
                <w:rFonts w:hint="eastAsia" w:ascii="宋体" w:hAnsi="宋体" w:cs="宋体"/>
                <w:color w:val="auto"/>
                <w:sz w:val="24"/>
                <w:highlight w:val="none"/>
              </w:rPr>
            </w:pPr>
          </w:p>
        </w:tc>
        <w:tc>
          <w:tcPr>
            <w:tcW w:w="1442" w:type="dxa"/>
            <w:vAlign w:val="center"/>
          </w:tcPr>
          <w:p w14:paraId="5471384C">
            <w:pPr>
              <w:jc w:val="center"/>
              <w:rPr>
                <w:rFonts w:hint="eastAsia" w:ascii="宋体" w:hAnsi="宋体" w:cs="宋体"/>
                <w:color w:val="auto"/>
                <w:sz w:val="24"/>
                <w:highlight w:val="none"/>
              </w:rPr>
            </w:pPr>
          </w:p>
        </w:tc>
        <w:tc>
          <w:tcPr>
            <w:tcW w:w="1049" w:type="dxa"/>
            <w:vAlign w:val="center"/>
          </w:tcPr>
          <w:p w14:paraId="06B90360">
            <w:pPr>
              <w:jc w:val="center"/>
              <w:rPr>
                <w:rFonts w:hint="eastAsia" w:ascii="宋体" w:hAnsi="宋体" w:cs="宋体"/>
                <w:color w:val="auto"/>
                <w:sz w:val="24"/>
                <w:highlight w:val="none"/>
              </w:rPr>
            </w:pPr>
          </w:p>
        </w:tc>
      </w:tr>
      <w:tr w14:paraId="6070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dxa"/>
            <w:vAlign w:val="center"/>
          </w:tcPr>
          <w:p w14:paraId="34B325E3">
            <w:pPr>
              <w:jc w:val="center"/>
              <w:rPr>
                <w:rFonts w:hint="eastAsia" w:ascii="宋体" w:hAnsi="宋体" w:cs="宋体"/>
                <w:color w:val="auto"/>
                <w:sz w:val="24"/>
                <w:highlight w:val="none"/>
              </w:rPr>
            </w:pPr>
            <w:r>
              <w:rPr>
                <w:rFonts w:hint="eastAsia" w:ascii="宋体" w:hAnsi="宋体" w:cs="宋体"/>
                <w:color w:val="auto"/>
                <w:sz w:val="24"/>
                <w:highlight w:val="none"/>
              </w:rPr>
              <w:t>4</w:t>
            </w:r>
          </w:p>
        </w:tc>
        <w:tc>
          <w:tcPr>
            <w:tcW w:w="2107" w:type="dxa"/>
            <w:vAlign w:val="center"/>
          </w:tcPr>
          <w:p w14:paraId="13DF9FC4">
            <w:pPr>
              <w:jc w:val="center"/>
              <w:rPr>
                <w:rFonts w:hint="eastAsia" w:ascii="宋体" w:hAnsi="宋体" w:cs="宋体"/>
                <w:color w:val="auto"/>
                <w:sz w:val="24"/>
                <w:highlight w:val="none"/>
              </w:rPr>
            </w:pPr>
          </w:p>
        </w:tc>
        <w:tc>
          <w:tcPr>
            <w:tcW w:w="1254" w:type="dxa"/>
            <w:vAlign w:val="center"/>
          </w:tcPr>
          <w:p w14:paraId="0CCAFAE1">
            <w:pPr>
              <w:jc w:val="center"/>
              <w:rPr>
                <w:rFonts w:hint="eastAsia" w:ascii="宋体" w:hAnsi="宋体" w:cs="宋体"/>
                <w:color w:val="auto"/>
                <w:sz w:val="24"/>
                <w:highlight w:val="none"/>
              </w:rPr>
            </w:pPr>
          </w:p>
        </w:tc>
        <w:tc>
          <w:tcPr>
            <w:tcW w:w="1685" w:type="dxa"/>
            <w:vAlign w:val="center"/>
          </w:tcPr>
          <w:p w14:paraId="1FE561B3">
            <w:pPr>
              <w:jc w:val="center"/>
              <w:rPr>
                <w:rFonts w:hint="eastAsia" w:ascii="宋体" w:hAnsi="宋体" w:cs="宋体"/>
                <w:color w:val="auto"/>
                <w:sz w:val="24"/>
                <w:highlight w:val="none"/>
              </w:rPr>
            </w:pPr>
          </w:p>
        </w:tc>
        <w:tc>
          <w:tcPr>
            <w:tcW w:w="1442" w:type="dxa"/>
          </w:tcPr>
          <w:p w14:paraId="119AF105">
            <w:pPr>
              <w:jc w:val="center"/>
              <w:rPr>
                <w:rFonts w:hint="eastAsia" w:ascii="宋体" w:hAnsi="宋体" w:cs="宋体"/>
                <w:color w:val="auto"/>
                <w:sz w:val="24"/>
                <w:highlight w:val="none"/>
              </w:rPr>
            </w:pPr>
          </w:p>
        </w:tc>
        <w:tc>
          <w:tcPr>
            <w:tcW w:w="1442" w:type="dxa"/>
            <w:vAlign w:val="center"/>
          </w:tcPr>
          <w:p w14:paraId="571C638E">
            <w:pPr>
              <w:jc w:val="center"/>
              <w:rPr>
                <w:rFonts w:hint="eastAsia" w:ascii="宋体" w:hAnsi="宋体" w:cs="宋体"/>
                <w:color w:val="auto"/>
                <w:sz w:val="24"/>
                <w:highlight w:val="none"/>
              </w:rPr>
            </w:pPr>
          </w:p>
        </w:tc>
        <w:tc>
          <w:tcPr>
            <w:tcW w:w="1049" w:type="dxa"/>
            <w:vAlign w:val="center"/>
          </w:tcPr>
          <w:p w14:paraId="26E2D1EE">
            <w:pPr>
              <w:jc w:val="center"/>
              <w:rPr>
                <w:rFonts w:hint="eastAsia" w:ascii="宋体" w:hAnsi="宋体" w:cs="宋体"/>
                <w:color w:val="auto"/>
                <w:sz w:val="24"/>
                <w:highlight w:val="none"/>
              </w:rPr>
            </w:pPr>
          </w:p>
        </w:tc>
      </w:tr>
      <w:tr w14:paraId="00AC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dxa"/>
            <w:vAlign w:val="center"/>
          </w:tcPr>
          <w:p w14:paraId="27B137E3">
            <w:pPr>
              <w:jc w:val="center"/>
              <w:rPr>
                <w:rFonts w:hint="eastAsia" w:ascii="宋体" w:hAnsi="宋体" w:cs="宋体"/>
                <w:color w:val="auto"/>
                <w:sz w:val="24"/>
                <w:highlight w:val="none"/>
              </w:rPr>
            </w:pPr>
            <w:r>
              <w:rPr>
                <w:rFonts w:hint="eastAsia" w:ascii="宋体" w:hAnsi="宋体" w:cs="宋体"/>
                <w:color w:val="auto"/>
                <w:sz w:val="24"/>
                <w:highlight w:val="none"/>
              </w:rPr>
              <w:t>5</w:t>
            </w:r>
          </w:p>
        </w:tc>
        <w:tc>
          <w:tcPr>
            <w:tcW w:w="2107" w:type="dxa"/>
            <w:vAlign w:val="center"/>
          </w:tcPr>
          <w:p w14:paraId="76C387FF">
            <w:pPr>
              <w:jc w:val="center"/>
              <w:rPr>
                <w:rFonts w:hint="eastAsia" w:ascii="宋体" w:hAnsi="宋体" w:cs="宋体"/>
                <w:color w:val="auto"/>
                <w:sz w:val="24"/>
                <w:highlight w:val="none"/>
              </w:rPr>
            </w:pPr>
          </w:p>
        </w:tc>
        <w:tc>
          <w:tcPr>
            <w:tcW w:w="1254" w:type="dxa"/>
            <w:vAlign w:val="center"/>
          </w:tcPr>
          <w:p w14:paraId="686DE41D">
            <w:pPr>
              <w:jc w:val="center"/>
              <w:rPr>
                <w:rFonts w:hint="eastAsia" w:ascii="宋体" w:hAnsi="宋体" w:cs="宋体"/>
                <w:color w:val="auto"/>
                <w:sz w:val="24"/>
                <w:highlight w:val="none"/>
              </w:rPr>
            </w:pPr>
          </w:p>
        </w:tc>
        <w:tc>
          <w:tcPr>
            <w:tcW w:w="1685" w:type="dxa"/>
            <w:vAlign w:val="center"/>
          </w:tcPr>
          <w:p w14:paraId="2C9D1ACB">
            <w:pPr>
              <w:jc w:val="center"/>
              <w:rPr>
                <w:rFonts w:hint="eastAsia" w:ascii="宋体" w:hAnsi="宋体" w:cs="宋体"/>
                <w:color w:val="auto"/>
                <w:sz w:val="24"/>
                <w:highlight w:val="none"/>
              </w:rPr>
            </w:pPr>
          </w:p>
        </w:tc>
        <w:tc>
          <w:tcPr>
            <w:tcW w:w="1442" w:type="dxa"/>
          </w:tcPr>
          <w:p w14:paraId="04917927">
            <w:pPr>
              <w:jc w:val="center"/>
              <w:rPr>
                <w:rFonts w:hint="eastAsia" w:ascii="宋体" w:hAnsi="宋体" w:cs="宋体"/>
                <w:color w:val="auto"/>
                <w:sz w:val="24"/>
                <w:highlight w:val="none"/>
              </w:rPr>
            </w:pPr>
          </w:p>
        </w:tc>
        <w:tc>
          <w:tcPr>
            <w:tcW w:w="1442" w:type="dxa"/>
            <w:vAlign w:val="center"/>
          </w:tcPr>
          <w:p w14:paraId="0EB744D0">
            <w:pPr>
              <w:jc w:val="center"/>
              <w:rPr>
                <w:rFonts w:hint="eastAsia" w:ascii="宋体" w:hAnsi="宋体" w:cs="宋体"/>
                <w:color w:val="auto"/>
                <w:sz w:val="24"/>
                <w:highlight w:val="none"/>
              </w:rPr>
            </w:pPr>
          </w:p>
        </w:tc>
        <w:tc>
          <w:tcPr>
            <w:tcW w:w="1049" w:type="dxa"/>
            <w:vAlign w:val="center"/>
          </w:tcPr>
          <w:p w14:paraId="2444615F">
            <w:pPr>
              <w:jc w:val="center"/>
              <w:rPr>
                <w:rFonts w:hint="eastAsia" w:ascii="宋体" w:hAnsi="宋体" w:cs="宋体"/>
                <w:color w:val="auto"/>
                <w:sz w:val="24"/>
                <w:highlight w:val="none"/>
              </w:rPr>
            </w:pPr>
          </w:p>
        </w:tc>
      </w:tr>
      <w:tr w14:paraId="174C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77" w:type="dxa"/>
            <w:vAlign w:val="center"/>
          </w:tcPr>
          <w:p w14:paraId="0EA26FD0">
            <w:pPr>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2107" w:type="dxa"/>
            <w:vAlign w:val="center"/>
          </w:tcPr>
          <w:p w14:paraId="0E21B8C6">
            <w:pPr>
              <w:jc w:val="center"/>
              <w:rPr>
                <w:rFonts w:hint="eastAsia" w:ascii="宋体" w:hAnsi="宋体" w:cs="宋体"/>
                <w:color w:val="auto"/>
                <w:sz w:val="24"/>
                <w:highlight w:val="none"/>
              </w:rPr>
            </w:pPr>
          </w:p>
        </w:tc>
        <w:tc>
          <w:tcPr>
            <w:tcW w:w="1254" w:type="dxa"/>
            <w:vAlign w:val="center"/>
          </w:tcPr>
          <w:p w14:paraId="6AF8BF0A">
            <w:pPr>
              <w:jc w:val="center"/>
              <w:rPr>
                <w:rFonts w:hint="eastAsia" w:ascii="宋体" w:hAnsi="宋体" w:cs="宋体"/>
                <w:color w:val="auto"/>
                <w:sz w:val="24"/>
                <w:highlight w:val="none"/>
              </w:rPr>
            </w:pPr>
          </w:p>
        </w:tc>
        <w:tc>
          <w:tcPr>
            <w:tcW w:w="1685" w:type="dxa"/>
            <w:vAlign w:val="center"/>
          </w:tcPr>
          <w:p w14:paraId="52C6D477">
            <w:pPr>
              <w:jc w:val="center"/>
              <w:rPr>
                <w:rFonts w:hint="eastAsia" w:ascii="宋体" w:hAnsi="宋体" w:cs="宋体"/>
                <w:color w:val="auto"/>
                <w:sz w:val="24"/>
                <w:highlight w:val="none"/>
              </w:rPr>
            </w:pPr>
          </w:p>
        </w:tc>
        <w:tc>
          <w:tcPr>
            <w:tcW w:w="1442" w:type="dxa"/>
          </w:tcPr>
          <w:p w14:paraId="58A1186E">
            <w:pPr>
              <w:jc w:val="center"/>
              <w:rPr>
                <w:rFonts w:hint="eastAsia" w:ascii="宋体" w:hAnsi="宋体" w:cs="宋体"/>
                <w:color w:val="auto"/>
                <w:sz w:val="24"/>
                <w:highlight w:val="none"/>
              </w:rPr>
            </w:pPr>
          </w:p>
        </w:tc>
        <w:tc>
          <w:tcPr>
            <w:tcW w:w="1442" w:type="dxa"/>
            <w:vAlign w:val="center"/>
          </w:tcPr>
          <w:p w14:paraId="4B8F9D25">
            <w:pPr>
              <w:jc w:val="center"/>
              <w:rPr>
                <w:rFonts w:hint="eastAsia" w:ascii="宋体" w:hAnsi="宋体" w:cs="宋体"/>
                <w:color w:val="auto"/>
                <w:sz w:val="24"/>
                <w:highlight w:val="none"/>
              </w:rPr>
            </w:pPr>
          </w:p>
        </w:tc>
        <w:tc>
          <w:tcPr>
            <w:tcW w:w="1049" w:type="dxa"/>
            <w:vAlign w:val="center"/>
          </w:tcPr>
          <w:p w14:paraId="012F6C35">
            <w:pPr>
              <w:jc w:val="center"/>
              <w:rPr>
                <w:rFonts w:hint="eastAsia" w:ascii="宋体" w:hAnsi="宋体" w:cs="宋体"/>
                <w:color w:val="auto"/>
                <w:sz w:val="24"/>
                <w:highlight w:val="none"/>
              </w:rPr>
            </w:pPr>
          </w:p>
        </w:tc>
      </w:tr>
    </w:tbl>
    <w:p w14:paraId="7E647FFA">
      <w:pPr>
        <w:spacing w:line="360" w:lineRule="auto"/>
        <w:rPr>
          <w:b/>
          <w:bCs/>
          <w:color w:val="auto"/>
          <w:sz w:val="24"/>
          <w:szCs w:val="24"/>
          <w:highlight w:val="none"/>
        </w:rPr>
      </w:pPr>
      <w:r>
        <w:rPr>
          <w:b/>
          <w:bCs/>
          <w:color w:val="auto"/>
          <w:sz w:val="24"/>
          <w:szCs w:val="24"/>
          <w:highlight w:val="none"/>
        </w:rPr>
        <w:t>注：</w:t>
      </w:r>
      <w:r>
        <w:rPr>
          <w:rFonts w:hint="eastAsia"/>
          <w:b/>
          <w:bCs/>
          <w:color w:val="auto"/>
          <w:sz w:val="24"/>
          <w:szCs w:val="24"/>
          <w:highlight w:val="none"/>
        </w:rPr>
        <w:t>投标人提供合同或中标(成交)通知书。</w:t>
      </w:r>
    </w:p>
    <w:p w14:paraId="443AC1AF">
      <w:pPr>
        <w:ind w:firstLine="482" w:firstLineChars="200"/>
        <w:rPr>
          <w:rFonts w:hint="eastAsia" w:ascii="宋体" w:hAnsi="宋体" w:cs="宋体"/>
          <w:b/>
          <w:color w:val="auto"/>
          <w:sz w:val="24"/>
          <w:szCs w:val="24"/>
          <w:highlight w:val="none"/>
        </w:rPr>
      </w:pPr>
    </w:p>
    <w:p w14:paraId="55F49882">
      <w:pPr>
        <w:ind w:firstLine="1687" w:firstLineChars="600"/>
        <w:rPr>
          <w:rFonts w:hint="eastAsia" w:ascii="宋体" w:hAnsi="宋体" w:cs="宋体"/>
          <w:b/>
          <w:color w:val="auto"/>
          <w:sz w:val="28"/>
          <w:szCs w:val="28"/>
          <w:highlight w:val="none"/>
        </w:rPr>
      </w:pPr>
    </w:p>
    <w:p w14:paraId="568BFF3B">
      <w:pPr>
        <w:spacing w:before="78" w:line="219" w:lineRule="auto"/>
        <w:ind w:left="4011"/>
        <w:rPr>
          <w:rFonts w:hint="eastAsia" w:ascii="宋体" w:hAnsi="宋体" w:cs="宋体"/>
          <w:color w:val="auto"/>
          <w:spacing w:val="-5"/>
          <w:sz w:val="24"/>
          <w:szCs w:val="24"/>
          <w:highlight w:val="none"/>
        </w:rPr>
      </w:pPr>
    </w:p>
    <w:p w14:paraId="6C471007">
      <w:pPr>
        <w:rPr>
          <w:rFonts w:hint="eastAsia" w:ascii="宋体" w:hAnsi="宋体" w:cs="宋体"/>
          <w:color w:val="auto"/>
          <w:highlight w:val="none"/>
        </w:rPr>
      </w:pPr>
      <w:r>
        <w:rPr>
          <w:rFonts w:ascii="宋体" w:hAnsi="宋体" w:cs="宋体"/>
          <w:color w:val="auto"/>
          <w:highlight w:val="none"/>
        </w:rPr>
        <w:br w:type="page"/>
      </w:r>
    </w:p>
    <w:p w14:paraId="61BA5387">
      <w:pPr>
        <w:pStyle w:val="11"/>
        <w:rPr>
          <w:rFonts w:hint="eastAsia"/>
          <w:color w:val="auto"/>
          <w:highlight w:val="none"/>
        </w:rPr>
      </w:pPr>
    </w:p>
    <w:p w14:paraId="595AF65D">
      <w:pPr>
        <w:pStyle w:val="5"/>
        <w:widowControl/>
        <w:autoSpaceDE w:val="0"/>
        <w:spacing w:before="0" w:after="0" w:line="360" w:lineRule="auto"/>
        <w:jc w:val="center"/>
        <w:rPr>
          <w:rFonts w:hint="eastAsia" w:ascii="宋体" w:hAnsi="宋体" w:cs="宋体"/>
          <w:color w:val="auto"/>
          <w:sz w:val="28"/>
          <w:szCs w:val="28"/>
          <w:highlight w:val="none"/>
        </w:rPr>
      </w:pPr>
      <w:bookmarkStart w:id="280" w:name="_Toc17962"/>
      <w:r>
        <w:rPr>
          <w:rFonts w:hint="eastAsia" w:ascii="宋体" w:hAnsi="宋体" w:cs="宋体"/>
          <w:color w:val="auto"/>
          <w:sz w:val="28"/>
          <w:szCs w:val="28"/>
          <w:highlight w:val="none"/>
        </w:rPr>
        <w:t>十</w:t>
      </w:r>
      <w:r>
        <w:rPr>
          <w:rFonts w:hint="eastAsia" w:ascii="宋体" w:hAnsi="宋体" w:cs="宋体"/>
          <w:color w:val="auto"/>
          <w:sz w:val="28"/>
          <w:szCs w:val="28"/>
          <w:highlight w:val="none"/>
          <w:lang w:val="en-US" w:eastAsia="zh-CN"/>
        </w:rPr>
        <w:t>七</w:t>
      </w:r>
      <w:r>
        <w:rPr>
          <w:rFonts w:hint="eastAsia" w:ascii="宋体" w:hAnsi="宋体" w:cs="宋体"/>
          <w:color w:val="auto"/>
          <w:sz w:val="28"/>
          <w:szCs w:val="28"/>
          <w:highlight w:val="none"/>
        </w:rPr>
        <w:t>、其他资料</w:t>
      </w:r>
      <w:bookmarkEnd w:id="280"/>
    </w:p>
    <w:p w14:paraId="393B4B72">
      <w:pPr>
        <w:spacing w:before="158" w:beforeLines="50" w:line="360" w:lineRule="auto"/>
        <w:ind w:firstLine="720" w:firstLineChars="300"/>
        <w:rPr>
          <w:rFonts w:hint="eastAsia" w:ascii="Times New Roman" w:hAnsi="Times New Roman" w:eastAsia="宋体"/>
          <w:caps w:val="0"/>
          <w:smallCaps w:val="0"/>
          <w:color w:val="auto"/>
          <w:sz w:val="24"/>
          <w:szCs w:val="24"/>
          <w:highlight w:val="none"/>
        </w:rPr>
      </w:pPr>
      <w:bookmarkStart w:id="281" w:name="_Toc12254"/>
      <w:bookmarkEnd w:id="281"/>
      <w:bookmarkStart w:id="282" w:name="_Toc468"/>
      <w:bookmarkEnd w:id="282"/>
      <w:r>
        <w:rPr>
          <w:rFonts w:hint="eastAsia" w:ascii="Times New Roman" w:hAnsi="Times New Roman" w:eastAsia="宋体"/>
          <w:caps w:val="0"/>
          <w:smallCaps w:val="0"/>
          <w:color w:val="auto"/>
          <w:sz w:val="24"/>
          <w:szCs w:val="24"/>
          <w:highlight w:val="none"/>
        </w:rPr>
        <w:t>(一)投标人能享受政策优惠的证明材料</w:t>
      </w:r>
    </w:p>
    <w:p w14:paraId="562DB4D8">
      <w:pPr>
        <w:spacing w:before="158" w:beforeLines="50" w:line="360" w:lineRule="auto"/>
        <w:ind w:firstLine="720" w:firstLineChars="300"/>
        <w:rPr>
          <w:rFonts w:hint="eastAsia" w:ascii="Times New Roman" w:hAnsi="Times New Roman" w:eastAsia="宋体"/>
          <w:caps w:val="0"/>
          <w:smallCaps w:val="0"/>
          <w:color w:val="auto"/>
          <w:sz w:val="24"/>
          <w:szCs w:val="24"/>
          <w:highlight w:val="none"/>
        </w:rPr>
      </w:pPr>
      <w:r>
        <w:rPr>
          <w:rFonts w:hint="eastAsia" w:ascii="Times New Roman" w:hAnsi="Times New Roman" w:eastAsia="宋体"/>
          <w:caps w:val="0"/>
          <w:smallCaps w:val="0"/>
          <w:color w:val="auto"/>
          <w:sz w:val="24"/>
          <w:szCs w:val="24"/>
          <w:highlight w:val="none"/>
        </w:rPr>
        <w:t>(二)招标文件要求提交的其他资料</w:t>
      </w:r>
    </w:p>
    <w:p w14:paraId="27282EB0">
      <w:pPr>
        <w:spacing w:before="120" w:beforeLines="50" w:line="360" w:lineRule="auto"/>
        <w:ind w:firstLine="720" w:firstLineChars="300"/>
        <w:rPr>
          <w:rFonts w:hint="eastAsia" w:ascii="Times New Roman" w:hAnsi="Times New Roman" w:eastAsia="宋体"/>
          <w:caps w:val="0"/>
          <w:smallCaps w:val="0"/>
          <w:color w:val="auto"/>
          <w:sz w:val="24"/>
          <w:szCs w:val="24"/>
          <w:highlight w:val="none"/>
        </w:rPr>
      </w:pPr>
      <w:r>
        <w:rPr>
          <w:rFonts w:hint="eastAsia" w:ascii="Times New Roman" w:hAnsi="Times New Roman" w:eastAsia="宋体"/>
          <w:caps w:val="0"/>
          <w:smallCaps w:val="0"/>
          <w:color w:val="auto"/>
          <w:sz w:val="24"/>
          <w:szCs w:val="24"/>
          <w:highlight w:val="none"/>
        </w:rPr>
        <w:t>(三)投标人认为需要提交的其他资料</w:t>
      </w:r>
    </w:p>
    <w:p w14:paraId="1CAF92A7">
      <w:pPr>
        <w:rPr>
          <w:rFonts w:hint="eastAsia" w:ascii="Times New Roman" w:hAnsi="Times New Roman" w:eastAsia="宋体"/>
          <w:caps w:val="0"/>
          <w:smallCaps w:val="0"/>
          <w:color w:val="auto"/>
          <w:sz w:val="24"/>
          <w:szCs w:val="24"/>
          <w:highlight w:val="none"/>
        </w:rPr>
      </w:pPr>
      <w:r>
        <w:rPr>
          <w:rFonts w:hint="eastAsia" w:ascii="Times New Roman" w:hAnsi="Times New Roman" w:eastAsia="宋体"/>
          <w:caps w:val="0"/>
          <w:smallCaps w:val="0"/>
          <w:color w:val="auto"/>
          <w:sz w:val="24"/>
          <w:szCs w:val="24"/>
          <w:highlight w:val="none"/>
        </w:rPr>
        <w:br w:type="page"/>
      </w:r>
    </w:p>
    <w:p w14:paraId="1D78B8E0">
      <w:pPr>
        <w:spacing w:line="360" w:lineRule="auto"/>
        <w:ind w:firstLine="522" w:firstLineChars="200"/>
        <w:jc w:val="center"/>
        <w:rPr>
          <w:rFonts w:hint="eastAsia" w:ascii="宋体" w:hAnsi="宋体" w:cs="宋体"/>
          <w:color w:val="auto"/>
          <w:sz w:val="26"/>
          <w:szCs w:val="24"/>
          <w:highlight w:val="none"/>
        </w:rPr>
      </w:pPr>
      <w:r>
        <w:rPr>
          <w:rFonts w:hint="eastAsia" w:ascii="宋体" w:hAnsi="宋体" w:cs="宋体"/>
          <w:b/>
          <w:bCs/>
          <w:color w:val="auto"/>
          <w:sz w:val="26"/>
          <w:szCs w:val="24"/>
          <w:highlight w:val="none"/>
          <w:lang w:bidi="ar"/>
        </w:rPr>
        <w:t>中小企业声明函(服务)</w:t>
      </w:r>
    </w:p>
    <w:p w14:paraId="4CB81AFA">
      <w:pPr>
        <w:widowControl w:val="0"/>
        <w:spacing w:line="360" w:lineRule="auto"/>
        <w:ind w:firstLine="480" w:firstLineChars="200"/>
        <w:rPr>
          <w:rFonts w:hint="eastAsia"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lang w:bidi="ar"/>
        </w:rPr>
        <w:t>本公司(联合体)郑重声明，根据《政府采购促进中小企业发展管理办法》(财库( 2020 )46号)的规定，本公司(联合体)参加</w:t>
      </w:r>
      <w:r>
        <w:rPr>
          <w:rFonts w:hint="eastAsia" w:ascii="宋体" w:hAnsi="宋体" w:cs="宋体"/>
          <w:color w:val="auto"/>
          <w:sz w:val="24"/>
          <w:szCs w:val="24"/>
          <w:highlight w:val="none"/>
          <w:u w:val="single"/>
          <w:shd w:val="clear" w:color="auto" w:fill="FFFFFF"/>
          <w:lang w:bidi="ar"/>
        </w:rPr>
        <w:t xml:space="preserve">        (单位名称)</w:t>
      </w:r>
      <w:r>
        <w:rPr>
          <w:rFonts w:hint="eastAsia" w:ascii="宋体" w:hAnsi="宋体" w:cs="宋体"/>
          <w:color w:val="auto"/>
          <w:sz w:val="24"/>
          <w:szCs w:val="24"/>
          <w:highlight w:val="none"/>
          <w:shd w:val="clear" w:color="auto" w:fill="FFFFFF"/>
          <w:lang w:bidi="ar"/>
        </w:rPr>
        <w:t>的</w:t>
      </w:r>
      <w:r>
        <w:rPr>
          <w:rFonts w:hint="eastAsia" w:ascii="宋体" w:hAnsi="宋体" w:cs="宋体"/>
          <w:color w:val="auto"/>
          <w:sz w:val="24"/>
          <w:szCs w:val="24"/>
          <w:highlight w:val="none"/>
          <w:u w:val="single"/>
          <w:shd w:val="clear" w:color="auto" w:fill="FFFFFF"/>
          <w:lang w:bidi="ar"/>
        </w:rPr>
        <w:t xml:space="preserve">    (项目名称)</w:t>
      </w:r>
      <w:r>
        <w:rPr>
          <w:rFonts w:hint="eastAsia" w:ascii="宋体" w:hAnsi="宋体" w:cs="宋体"/>
          <w:color w:val="auto"/>
          <w:sz w:val="24"/>
          <w:szCs w:val="24"/>
          <w:highlight w:val="none"/>
          <w:shd w:val="clear" w:color="auto" w:fill="FFFFFF"/>
          <w:lang w:bidi="ar"/>
        </w:rPr>
        <w:t>采购活动，服务全部由符合政策要求的中小企业承接。相关企业的具体情况如下:</w:t>
      </w:r>
    </w:p>
    <w:p w14:paraId="227C4084">
      <w:pPr>
        <w:widowControl w:val="0"/>
        <w:spacing w:line="360" w:lineRule="auto"/>
        <w:ind w:firstLine="480" w:firstLineChars="200"/>
        <w:jc w:val="both"/>
        <w:rPr>
          <w:rFonts w:hint="eastAsia"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lang w:bidi="ar"/>
        </w:rPr>
        <w:t xml:space="preserve">1. </w:t>
      </w:r>
      <w:r>
        <w:rPr>
          <w:rFonts w:hint="eastAsia" w:ascii="宋体" w:hAnsi="宋体" w:cs="宋体"/>
          <w:color w:val="auto"/>
          <w:sz w:val="24"/>
          <w:szCs w:val="24"/>
          <w:highlight w:val="none"/>
          <w:u w:val="single"/>
          <w:shd w:val="clear" w:color="auto" w:fill="FFFFFF"/>
          <w:lang w:bidi="ar"/>
        </w:rPr>
        <w:t xml:space="preserve">    (标的名称)</w:t>
      </w:r>
      <w:r>
        <w:rPr>
          <w:rFonts w:hint="eastAsia" w:ascii="宋体" w:hAnsi="宋体" w:cs="宋体"/>
          <w:color w:val="auto"/>
          <w:sz w:val="24"/>
          <w:szCs w:val="24"/>
          <w:highlight w:val="none"/>
          <w:shd w:val="clear" w:color="auto" w:fill="FFFFFF"/>
          <w:lang w:bidi="ar"/>
        </w:rPr>
        <w:t>，属于</w:t>
      </w:r>
      <w:r>
        <w:rPr>
          <w:rFonts w:hint="eastAsia" w:ascii="宋体" w:hAnsi="宋体" w:cs="宋体"/>
          <w:color w:val="auto"/>
          <w:sz w:val="24"/>
          <w:szCs w:val="24"/>
          <w:highlight w:val="none"/>
          <w:u w:val="single"/>
          <w:shd w:val="clear" w:color="auto" w:fill="FFFFFF"/>
          <w:lang w:val="en-US" w:eastAsia="zh-CN" w:bidi="ar"/>
        </w:rPr>
        <w:t>其他未列明行业</w:t>
      </w:r>
      <w:r>
        <w:rPr>
          <w:rFonts w:hint="eastAsia" w:ascii="宋体" w:hAnsi="宋体" w:cs="宋体"/>
          <w:color w:val="auto"/>
          <w:sz w:val="24"/>
          <w:szCs w:val="24"/>
          <w:highlight w:val="none"/>
          <w:shd w:val="clear" w:color="auto" w:fill="FFFFFF"/>
          <w:lang w:bidi="ar"/>
        </w:rPr>
        <w:t>；承建（承接）企业为</w:t>
      </w:r>
      <w:r>
        <w:rPr>
          <w:rFonts w:hint="eastAsia" w:ascii="宋体" w:hAnsi="宋体" w:cs="宋体"/>
          <w:color w:val="auto"/>
          <w:sz w:val="24"/>
          <w:szCs w:val="24"/>
          <w:highlight w:val="none"/>
          <w:u w:val="single"/>
          <w:shd w:val="clear" w:color="auto" w:fill="FFFFFF"/>
          <w:lang w:bidi="ar"/>
        </w:rPr>
        <w:t xml:space="preserve">    (企业名称)</w:t>
      </w:r>
      <w:r>
        <w:rPr>
          <w:rFonts w:hint="eastAsia" w:ascii="宋体" w:hAnsi="宋体" w:cs="宋体"/>
          <w:color w:val="auto"/>
          <w:sz w:val="24"/>
          <w:szCs w:val="24"/>
          <w:highlight w:val="none"/>
          <w:shd w:val="clear" w:color="auto" w:fill="FFFFFF"/>
          <w:lang w:bidi="ar"/>
        </w:rPr>
        <w:t>，从业人员</w:t>
      </w:r>
      <w:r>
        <w:rPr>
          <w:rFonts w:hint="eastAsia" w:ascii="宋体" w:hAnsi="宋体" w:cs="宋体"/>
          <w:color w:val="auto"/>
          <w:sz w:val="24"/>
          <w:szCs w:val="24"/>
          <w:highlight w:val="none"/>
          <w:u w:val="single"/>
          <w:shd w:val="clear" w:color="auto" w:fill="FFFFFF"/>
          <w:lang w:bidi="ar"/>
        </w:rPr>
        <w:t xml:space="preserve">     </w:t>
      </w:r>
      <w:r>
        <w:rPr>
          <w:rFonts w:hint="eastAsia" w:ascii="宋体" w:hAnsi="宋体" w:cs="宋体"/>
          <w:color w:val="auto"/>
          <w:sz w:val="24"/>
          <w:szCs w:val="24"/>
          <w:highlight w:val="none"/>
          <w:shd w:val="clear" w:color="auto" w:fill="FFFFFF"/>
          <w:lang w:bidi="ar"/>
        </w:rPr>
        <w:t>人， 营业收入为</w:t>
      </w:r>
      <w:r>
        <w:rPr>
          <w:rFonts w:hint="eastAsia" w:ascii="宋体" w:hAnsi="宋体" w:cs="宋体"/>
          <w:color w:val="auto"/>
          <w:sz w:val="24"/>
          <w:szCs w:val="24"/>
          <w:highlight w:val="none"/>
          <w:u w:val="single"/>
          <w:shd w:val="clear" w:color="auto" w:fill="FFFFFF"/>
          <w:lang w:bidi="ar"/>
        </w:rPr>
        <w:t xml:space="preserve">     </w:t>
      </w:r>
      <w:r>
        <w:rPr>
          <w:rFonts w:hint="eastAsia" w:ascii="宋体" w:hAnsi="宋体" w:cs="宋体"/>
          <w:color w:val="auto"/>
          <w:sz w:val="24"/>
          <w:szCs w:val="24"/>
          <w:highlight w:val="none"/>
          <w:shd w:val="clear" w:color="auto" w:fill="FFFFFF"/>
          <w:lang w:bidi="ar"/>
        </w:rPr>
        <w:t>万元，资产总额为</w:t>
      </w:r>
      <w:r>
        <w:rPr>
          <w:rFonts w:hint="eastAsia" w:ascii="宋体" w:hAnsi="宋体" w:cs="宋体"/>
          <w:color w:val="auto"/>
          <w:sz w:val="24"/>
          <w:szCs w:val="24"/>
          <w:highlight w:val="none"/>
          <w:u w:val="single"/>
          <w:shd w:val="clear" w:color="auto" w:fill="FFFFFF"/>
          <w:lang w:bidi="ar"/>
        </w:rPr>
        <w:t xml:space="preserve">      </w:t>
      </w:r>
      <w:r>
        <w:rPr>
          <w:rFonts w:hint="eastAsia" w:ascii="宋体" w:hAnsi="宋体" w:cs="宋体"/>
          <w:color w:val="auto"/>
          <w:sz w:val="24"/>
          <w:szCs w:val="24"/>
          <w:highlight w:val="none"/>
          <w:shd w:val="clear" w:color="auto" w:fill="FFFFFF"/>
          <w:lang w:bidi="ar"/>
        </w:rPr>
        <w:t>万元</w:t>
      </w:r>
      <w:r>
        <w:rPr>
          <w:rFonts w:hint="eastAsia" w:ascii="宋体" w:hAnsi="宋体" w:cs="宋体"/>
          <w:color w:val="auto"/>
          <w:sz w:val="24"/>
          <w:szCs w:val="24"/>
          <w:highlight w:val="none"/>
          <w:shd w:val="clear" w:color="auto" w:fill="FFFFFF"/>
          <w:vertAlign w:val="superscript"/>
          <w:lang w:bidi="ar"/>
        </w:rPr>
        <w:t>1</w:t>
      </w:r>
      <w:r>
        <w:rPr>
          <w:rFonts w:hint="eastAsia" w:ascii="宋体" w:hAnsi="宋体" w:cs="宋体"/>
          <w:color w:val="auto"/>
          <w:sz w:val="24"/>
          <w:szCs w:val="24"/>
          <w:highlight w:val="none"/>
          <w:shd w:val="clear" w:color="auto" w:fill="FFFFFF"/>
          <w:lang w:bidi="ar"/>
        </w:rPr>
        <w:t>，属于</w:t>
      </w:r>
      <w:r>
        <w:rPr>
          <w:rFonts w:hint="eastAsia" w:ascii="宋体" w:hAnsi="宋体" w:cs="宋体"/>
          <w:color w:val="auto"/>
          <w:sz w:val="24"/>
          <w:szCs w:val="24"/>
          <w:highlight w:val="none"/>
          <w:u w:val="single"/>
          <w:shd w:val="clear" w:color="auto" w:fill="FFFFFF"/>
          <w:lang w:bidi="ar"/>
        </w:rPr>
        <w:t xml:space="preserve">     （中型企业、小型企业、微型企业）</w:t>
      </w:r>
      <w:r>
        <w:rPr>
          <w:rFonts w:hint="eastAsia" w:ascii="宋体" w:hAnsi="宋体" w:cs="宋体"/>
          <w:color w:val="auto"/>
          <w:sz w:val="24"/>
          <w:szCs w:val="24"/>
          <w:highlight w:val="none"/>
          <w:shd w:val="clear" w:color="auto" w:fill="FFFFFF"/>
          <w:lang w:bidi="ar"/>
        </w:rPr>
        <w:t>；</w:t>
      </w:r>
    </w:p>
    <w:p w14:paraId="5D07FEAF">
      <w:pPr>
        <w:widowControl w:val="0"/>
        <w:spacing w:line="360" w:lineRule="auto"/>
        <w:ind w:firstLine="480" w:firstLineChars="200"/>
        <w:rPr>
          <w:rFonts w:hint="eastAsia"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lang w:bidi="ar"/>
        </w:rPr>
        <w:t>2.</w:t>
      </w:r>
      <w:r>
        <w:rPr>
          <w:rFonts w:hint="eastAsia" w:ascii="宋体" w:hAnsi="宋体" w:cs="宋体"/>
          <w:color w:val="auto"/>
          <w:sz w:val="24"/>
          <w:szCs w:val="24"/>
          <w:highlight w:val="none"/>
          <w:u w:val="single"/>
          <w:shd w:val="clear" w:color="auto" w:fill="FFFFFF"/>
          <w:lang w:bidi="ar"/>
        </w:rPr>
        <w:t xml:space="preserve">     （标的名称)</w:t>
      </w:r>
      <w:r>
        <w:rPr>
          <w:rFonts w:hint="eastAsia" w:ascii="宋体" w:hAnsi="宋体" w:cs="宋体"/>
          <w:color w:val="auto"/>
          <w:sz w:val="24"/>
          <w:szCs w:val="24"/>
          <w:highlight w:val="none"/>
          <w:shd w:val="clear" w:color="auto" w:fill="FFFFFF"/>
          <w:lang w:bidi="ar"/>
        </w:rPr>
        <w:t>， 属于</w:t>
      </w:r>
      <w:r>
        <w:rPr>
          <w:rFonts w:hint="eastAsia" w:ascii="宋体" w:hAnsi="宋体" w:cs="宋体"/>
          <w:color w:val="auto"/>
          <w:sz w:val="24"/>
          <w:szCs w:val="24"/>
          <w:highlight w:val="none"/>
          <w:u w:val="single"/>
          <w:shd w:val="clear" w:color="auto" w:fill="FFFFFF"/>
          <w:lang w:val="en-US" w:eastAsia="zh-CN" w:bidi="ar"/>
        </w:rPr>
        <w:t>其他未列明行业</w:t>
      </w:r>
      <w:r>
        <w:rPr>
          <w:rFonts w:hint="eastAsia" w:ascii="宋体" w:hAnsi="宋体" w:cs="宋体"/>
          <w:color w:val="auto"/>
          <w:sz w:val="24"/>
          <w:szCs w:val="24"/>
          <w:highlight w:val="none"/>
          <w:shd w:val="clear" w:color="auto" w:fill="FFFFFF"/>
          <w:lang w:bidi="ar"/>
        </w:rPr>
        <w:t>；承建（承接）企业为</w:t>
      </w:r>
      <w:r>
        <w:rPr>
          <w:rFonts w:hint="eastAsia" w:ascii="宋体" w:hAnsi="宋体" w:cs="宋体"/>
          <w:color w:val="auto"/>
          <w:sz w:val="24"/>
          <w:szCs w:val="24"/>
          <w:highlight w:val="none"/>
          <w:u w:val="single"/>
          <w:shd w:val="clear" w:color="auto" w:fill="FFFFFF"/>
          <w:lang w:bidi="ar"/>
        </w:rPr>
        <w:t xml:space="preserve">       (企业名称)</w:t>
      </w:r>
      <w:r>
        <w:rPr>
          <w:rFonts w:hint="eastAsia" w:ascii="宋体" w:hAnsi="宋体" w:cs="宋体"/>
          <w:color w:val="auto"/>
          <w:sz w:val="24"/>
          <w:szCs w:val="24"/>
          <w:highlight w:val="none"/>
          <w:shd w:val="clear" w:color="auto" w:fill="FFFFFF"/>
          <w:lang w:bidi="ar"/>
        </w:rPr>
        <w:t>，从业人员</w:t>
      </w:r>
      <w:r>
        <w:rPr>
          <w:rFonts w:hint="eastAsia" w:ascii="宋体" w:hAnsi="宋体" w:cs="宋体"/>
          <w:color w:val="auto"/>
          <w:sz w:val="24"/>
          <w:szCs w:val="24"/>
          <w:highlight w:val="none"/>
          <w:u w:val="single"/>
          <w:shd w:val="clear" w:color="auto" w:fill="FFFFFF"/>
          <w:lang w:bidi="ar"/>
        </w:rPr>
        <w:t xml:space="preserve">     </w:t>
      </w:r>
      <w:r>
        <w:rPr>
          <w:rFonts w:hint="eastAsia" w:ascii="宋体" w:hAnsi="宋体" w:cs="宋体"/>
          <w:color w:val="auto"/>
          <w:sz w:val="24"/>
          <w:szCs w:val="24"/>
          <w:highlight w:val="none"/>
          <w:shd w:val="clear" w:color="auto" w:fill="FFFFFF"/>
          <w:lang w:bidi="ar"/>
        </w:rPr>
        <w:t>人， 营业收入为</w:t>
      </w:r>
      <w:r>
        <w:rPr>
          <w:rFonts w:hint="eastAsia" w:ascii="宋体" w:hAnsi="宋体" w:cs="宋体"/>
          <w:color w:val="auto"/>
          <w:sz w:val="24"/>
          <w:szCs w:val="24"/>
          <w:highlight w:val="none"/>
          <w:u w:val="single"/>
          <w:shd w:val="clear" w:color="auto" w:fill="FFFFFF"/>
          <w:lang w:bidi="ar"/>
        </w:rPr>
        <w:t xml:space="preserve">      </w:t>
      </w:r>
      <w:r>
        <w:rPr>
          <w:rFonts w:hint="eastAsia" w:ascii="宋体" w:hAnsi="宋体" w:cs="宋体"/>
          <w:color w:val="auto"/>
          <w:sz w:val="24"/>
          <w:szCs w:val="24"/>
          <w:highlight w:val="none"/>
          <w:shd w:val="clear" w:color="auto" w:fill="FFFFFF"/>
          <w:lang w:bidi="ar"/>
        </w:rPr>
        <w:t>万元， 资产总额为</w:t>
      </w:r>
      <w:r>
        <w:rPr>
          <w:rFonts w:hint="eastAsia" w:ascii="宋体" w:hAnsi="宋体" w:cs="宋体"/>
          <w:color w:val="auto"/>
          <w:sz w:val="24"/>
          <w:szCs w:val="24"/>
          <w:highlight w:val="none"/>
          <w:u w:val="single"/>
          <w:shd w:val="clear" w:color="auto" w:fill="FFFFFF"/>
          <w:lang w:bidi="ar"/>
        </w:rPr>
        <w:t xml:space="preserve">      </w:t>
      </w:r>
      <w:r>
        <w:rPr>
          <w:rFonts w:hint="eastAsia" w:ascii="宋体" w:hAnsi="宋体" w:cs="宋体"/>
          <w:color w:val="auto"/>
          <w:sz w:val="24"/>
          <w:szCs w:val="24"/>
          <w:highlight w:val="none"/>
          <w:shd w:val="clear" w:color="auto" w:fill="FFFFFF"/>
          <w:lang w:bidi="ar"/>
        </w:rPr>
        <w:t>万元，属于</w:t>
      </w:r>
      <w:r>
        <w:rPr>
          <w:rFonts w:hint="eastAsia" w:ascii="宋体" w:hAnsi="宋体" w:cs="宋体"/>
          <w:color w:val="auto"/>
          <w:sz w:val="24"/>
          <w:szCs w:val="24"/>
          <w:highlight w:val="none"/>
          <w:u w:val="single"/>
          <w:shd w:val="clear" w:color="auto" w:fill="FFFFFF"/>
          <w:lang w:bidi="ar"/>
        </w:rPr>
        <w:t xml:space="preserve">      （中型企业、 小型企业、微型企业)</w:t>
      </w:r>
      <w:r>
        <w:rPr>
          <w:rFonts w:hint="eastAsia" w:ascii="宋体" w:hAnsi="宋体" w:cs="宋体"/>
          <w:color w:val="auto"/>
          <w:sz w:val="24"/>
          <w:szCs w:val="24"/>
          <w:highlight w:val="none"/>
          <w:shd w:val="clear" w:color="auto" w:fill="FFFFFF"/>
          <w:lang w:bidi="ar"/>
        </w:rPr>
        <w:t>；</w:t>
      </w:r>
    </w:p>
    <w:p w14:paraId="06914D42">
      <w:pPr>
        <w:widowControl w:val="0"/>
        <w:spacing w:line="360" w:lineRule="auto"/>
        <w:ind w:firstLine="482" w:firstLineChars="200"/>
        <w:rPr>
          <w:rFonts w:hint="eastAsia" w:ascii="宋体" w:hAnsi="宋体" w:cs="宋体"/>
          <w:color w:val="auto"/>
          <w:sz w:val="24"/>
          <w:szCs w:val="24"/>
          <w:highlight w:val="none"/>
          <w:shd w:val="clear" w:color="auto" w:fill="FFFFFF"/>
          <w:lang w:bidi="ar"/>
        </w:rPr>
      </w:pPr>
      <w:r>
        <w:rPr>
          <w:rFonts w:hint="eastAsia" w:ascii="宋体" w:hAnsi="宋体" w:cs="宋体"/>
          <w:b/>
          <w:bCs/>
          <w:color w:val="auto"/>
          <w:sz w:val="24"/>
          <w:szCs w:val="24"/>
          <w:highlight w:val="none"/>
          <w:shd w:val="clear" w:color="auto" w:fill="FFFFFF"/>
          <w:lang w:bidi="ar"/>
        </w:rPr>
        <w:t>以上企业，不属于大企业的分支机构，不存在控股股东为大企业的情形，也不存在与大企业的负责人为同一人的情形。</w:t>
      </w:r>
    </w:p>
    <w:p w14:paraId="62B0E808">
      <w:pPr>
        <w:widowControl w:val="0"/>
        <w:spacing w:line="360" w:lineRule="auto"/>
        <w:ind w:firstLine="480" w:firstLineChars="200"/>
        <w:jc w:val="both"/>
        <w:rPr>
          <w:rFonts w:hint="eastAsia"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lang w:bidi="ar"/>
        </w:rPr>
        <w:t>本企业对上述声明内容的真实性负责。如有虛假，将依法承担相应责任。</w:t>
      </w:r>
    </w:p>
    <w:p w14:paraId="3DEA5F13">
      <w:pPr>
        <w:spacing w:line="360" w:lineRule="auto"/>
        <w:jc w:val="center"/>
        <w:rPr>
          <w:rFonts w:hint="eastAsia" w:ascii="宋体" w:hAnsi="宋体" w:cs="宋体"/>
          <w:color w:val="auto"/>
          <w:sz w:val="24"/>
          <w:szCs w:val="24"/>
          <w:highlight w:val="none"/>
          <w:shd w:val="clear" w:color="auto" w:fill="FFFFFF"/>
          <w:lang w:bidi="ar"/>
        </w:rPr>
      </w:pPr>
    </w:p>
    <w:p w14:paraId="16B190BE">
      <w:pPr>
        <w:spacing w:line="360" w:lineRule="auto"/>
        <w:jc w:val="center"/>
        <w:rPr>
          <w:rFonts w:hint="eastAsia"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lang w:bidi="ar"/>
        </w:rPr>
        <w:t>企业名称(盖章):</w:t>
      </w:r>
    </w:p>
    <w:p w14:paraId="195B5908">
      <w:pPr>
        <w:spacing w:line="360" w:lineRule="auto"/>
        <w:ind w:firstLine="4080" w:firstLineChars="1700"/>
        <w:jc w:val="both"/>
        <w:rPr>
          <w:rFonts w:hint="eastAsia" w:ascii="宋体" w:hAnsi="宋体" w:cs="宋体"/>
          <w:color w:val="auto"/>
          <w:sz w:val="24"/>
          <w:szCs w:val="24"/>
          <w:highlight w:val="none"/>
          <w:shd w:val="clear" w:color="auto" w:fill="FFFFFF"/>
          <w:lang w:bidi="ar"/>
        </w:rPr>
      </w:pPr>
    </w:p>
    <w:p w14:paraId="59CB2210">
      <w:pPr>
        <w:spacing w:line="360" w:lineRule="auto"/>
        <w:ind w:firstLine="4080" w:firstLineChars="1700"/>
        <w:jc w:val="both"/>
        <w:rPr>
          <w:rFonts w:hint="eastAsia" w:ascii="宋体" w:hAnsi="宋体" w:cs="宋体"/>
          <w:color w:val="auto"/>
          <w:sz w:val="24"/>
          <w:szCs w:val="24"/>
          <w:highlight w:val="none"/>
          <w:shd w:val="clear" w:color="auto" w:fill="FFFFFF"/>
          <w:lang w:bidi="ar"/>
        </w:rPr>
      </w:pPr>
      <w:r>
        <w:rPr>
          <w:rFonts w:hint="eastAsia" w:ascii="宋体" w:hAnsi="宋体" w:cs="宋体"/>
          <w:color w:val="auto"/>
          <w:sz w:val="24"/>
          <w:szCs w:val="24"/>
          <w:highlight w:val="none"/>
          <w:shd w:val="clear" w:color="auto" w:fill="FFFFFF"/>
          <w:lang w:bidi="ar"/>
        </w:rPr>
        <w:t>日 期:</w:t>
      </w:r>
    </w:p>
    <w:p w14:paraId="22C8442C">
      <w:pPr>
        <w:spacing w:line="360" w:lineRule="auto"/>
        <w:ind w:firstLine="4080" w:firstLineChars="1700"/>
        <w:jc w:val="both"/>
        <w:rPr>
          <w:rFonts w:hint="eastAsia" w:ascii="宋体" w:hAnsi="宋体" w:cs="宋体"/>
          <w:color w:val="auto"/>
          <w:sz w:val="24"/>
          <w:szCs w:val="24"/>
          <w:highlight w:val="none"/>
          <w:shd w:val="clear" w:color="auto" w:fill="FFFFFF"/>
          <w:lang w:bidi="ar"/>
        </w:rPr>
      </w:pPr>
    </w:p>
    <w:p w14:paraId="734BC93B">
      <w:pPr>
        <w:spacing w:line="360" w:lineRule="auto"/>
        <w:jc w:val="both"/>
        <w:rPr>
          <w:rFonts w:hint="eastAsia" w:ascii="宋体" w:hAnsi="宋体" w:cs="宋体"/>
          <w:b/>
          <w:bCs/>
          <w:color w:val="auto"/>
          <w:sz w:val="24"/>
          <w:szCs w:val="24"/>
          <w:highlight w:val="none"/>
          <w:lang w:bidi="ar"/>
        </w:rPr>
      </w:pPr>
      <w:r>
        <w:rPr>
          <w:rFonts w:hint="eastAsia" w:ascii="宋体" w:hAnsi="宋体" w:cs="宋体"/>
          <w:b/>
          <w:bCs/>
          <w:color w:val="auto"/>
          <w:sz w:val="18"/>
          <w:szCs w:val="18"/>
          <w:highlight w:val="none"/>
          <w:shd w:val="clear" w:color="auto" w:fill="FFFFFF"/>
          <w:vertAlign w:val="superscript"/>
          <w:lang w:bidi="ar"/>
        </w:rPr>
        <w:t>1</w:t>
      </w:r>
      <w:r>
        <w:rPr>
          <w:rFonts w:hint="eastAsia" w:ascii="宋体" w:hAnsi="宋体" w:cs="宋体"/>
          <w:b/>
          <w:bCs/>
          <w:color w:val="auto"/>
          <w:sz w:val="18"/>
          <w:szCs w:val="18"/>
          <w:highlight w:val="none"/>
          <w:shd w:val="clear" w:color="auto" w:fill="FFFFFF"/>
          <w:lang w:bidi="ar"/>
        </w:rPr>
        <w:t>从业人员、营业收入、资产总额填报上一年度数据，无上一年度数据的新成立企业可不填报。</w:t>
      </w:r>
      <w:r>
        <w:rPr>
          <w:rFonts w:hint="eastAsia" w:ascii="宋体" w:hAnsi="宋体" w:cs="宋体"/>
          <w:b/>
          <w:bCs/>
          <w:color w:val="auto"/>
          <w:sz w:val="24"/>
          <w:szCs w:val="24"/>
          <w:highlight w:val="none"/>
          <w:lang w:bidi="ar"/>
        </w:rPr>
        <w:t xml:space="preserve"> </w:t>
      </w:r>
    </w:p>
    <w:p w14:paraId="1236E101">
      <w:pPr>
        <w:spacing w:line="360" w:lineRule="auto"/>
        <w:jc w:val="both"/>
        <w:rPr>
          <w:rFonts w:hint="eastAsia" w:ascii="宋体" w:hAnsi="宋体" w:cs="宋体"/>
          <w:color w:val="auto"/>
          <w:sz w:val="18"/>
          <w:szCs w:val="18"/>
          <w:highlight w:val="none"/>
          <w:shd w:val="clear" w:color="auto" w:fill="FFFFFF"/>
          <w:lang w:bidi="ar"/>
        </w:rPr>
      </w:pPr>
      <w:r>
        <w:rPr>
          <w:rFonts w:hint="eastAsia" w:ascii="宋体" w:hAnsi="宋体" w:cs="宋体"/>
          <w:color w:val="auto"/>
          <w:sz w:val="18"/>
          <w:szCs w:val="18"/>
          <w:highlight w:val="none"/>
          <w:shd w:val="clear" w:color="auto" w:fill="FFFFFF"/>
          <w:lang w:bidi="ar"/>
        </w:rPr>
        <w:t>1</w:t>
      </w:r>
      <w:r>
        <w:rPr>
          <w:rFonts w:hint="eastAsia" w:ascii="宋体" w:hAnsi="宋体" w:cs="宋体"/>
          <w:color w:val="auto"/>
          <w:sz w:val="18"/>
          <w:szCs w:val="18"/>
          <w:highlight w:val="none"/>
          <w:shd w:val="clear" w:color="auto" w:fill="FFFFFF"/>
          <w:lang w:val="en-US" w:eastAsia="zh-CN" w:bidi="ar"/>
        </w:rPr>
        <w:t>.</w:t>
      </w:r>
      <w:r>
        <w:rPr>
          <w:rFonts w:hint="eastAsia" w:ascii="宋体" w:hAnsi="宋体" w:cs="宋体"/>
          <w:color w:val="auto"/>
          <w:sz w:val="18"/>
          <w:szCs w:val="18"/>
          <w:highlight w:val="none"/>
          <w:shd w:val="clear" w:color="auto" w:fill="FFFFFF"/>
          <w:lang w:bidi="ar"/>
        </w:rPr>
        <w:t>服务由中小企业承接，即提供服务的人员为中小企业依照《中华人民共和国劳动合同法》订立劳动合同的从业人员；</w:t>
      </w:r>
    </w:p>
    <w:p w14:paraId="067F494E">
      <w:pPr>
        <w:spacing w:line="360" w:lineRule="auto"/>
        <w:jc w:val="both"/>
        <w:rPr>
          <w:rFonts w:hint="eastAsia" w:ascii="宋体" w:hAnsi="宋体" w:cs="宋体"/>
          <w:color w:val="auto"/>
          <w:sz w:val="18"/>
          <w:szCs w:val="18"/>
          <w:highlight w:val="none"/>
          <w:shd w:val="clear" w:color="auto" w:fill="FFFFFF"/>
          <w:lang w:bidi="ar"/>
        </w:rPr>
      </w:pPr>
      <w:r>
        <w:rPr>
          <w:rFonts w:hint="eastAsia" w:ascii="宋体" w:hAnsi="宋体" w:cs="宋体"/>
          <w:color w:val="auto"/>
          <w:sz w:val="18"/>
          <w:szCs w:val="18"/>
          <w:highlight w:val="none"/>
          <w:shd w:val="clear" w:color="auto" w:fill="FFFFFF"/>
          <w:lang w:bidi="ar"/>
        </w:rPr>
        <w:t>2</w:t>
      </w:r>
      <w:r>
        <w:rPr>
          <w:rFonts w:hint="eastAsia" w:ascii="宋体" w:hAnsi="宋体" w:cs="宋体"/>
          <w:color w:val="auto"/>
          <w:sz w:val="18"/>
          <w:szCs w:val="18"/>
          <w:highlight w:val="none"/>
          <w:shd w:val="clear" w:color="auto" w:fill="FFFFFF"/>
          <w:lang w:val="en-US" w:eastAsia="zh-CN" w:bidi="ar"/>
        </w:rPr>
        <w:t>.</w:t>
      </w:r>
      <w:r>
        <w:rPr>
          <w:rFonts w:hint="eastAsia" w:ascii="宋体" w:hAnsi="宋体" w:cs="宋体"/>
          <w:color w:val="auto"/>
          <w:sz w:val="18"/>
          <w:szCs w:val="18"/>
          <w:highlight w:val="none"/>
          <w:shd w:val="clear" w:color="auto" w:fill="FFFFFF"/>
          <w:lang w:bidi="ar"/>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1A42B0BD">
      <w:pPr>
        <w:spacing w:line="360" w:lineRule="auto"/>
        <w:jc w:val="both"/>
        <w:rPr>
          <w:rFonts w:hint="eastAsia" w:ascii="宋体" w:hAnsi="宋体" w:cs="宋体"/>
          <w:color w:val="auto"/>
          <w:sz w:val="18"/>
          <w:szCs w:val="18"/>
          <w:highlight w:val="none"/>
          <w:shd w:val="clear" w:color="auto" w:fill="FFFFFF"/>
          <w:lang w:bidi="ar"/>
        </w:rPr>
      </w:pPr>
      <w:r>
        <w:rPr>
          <w:rFonts w:hint="eastAsia" w:ascii="宋体" w:hAnsi="宋体" w:cs="宋体"/>
          <w:color w:val="auto"/>
          <w:sz w:val="18"/>
          <w:szCs w:val="18"/>
          <w:highlight w:val="none"/>
          <w:shd w:val="clear" w:color="auto" w:fill="FFFFFF"/>
          <w:lang w:bidi="ar"/>
        </w:rPr>
        <w:t>3</w:t>
      </w:r>
      <w:r>
        <w:rPr>
          <w:rFonts w:hint="eastAsia" w:ascii="宋体" w:hAnsi="宋体" w:cs="宋体"/>
          <w:color w:val="auto"/>
          <w:sz w:val="18"/>
          <w:szCs w:val="18"/>
          <w:highlight w:val="none"/>
          <w:shd w:val="clear" w:color="auto" w:fill="FFFFFF"/>
          <w:lang w:val="en-US" w:eastAsia="zh-CN" w:bidi="ar"/>
        </w:rPr>
        <w:t>.</w:t>
      </w:r>
      <w:r>
        <w:rPr>
          <w:rFonts w:hint="eastAsia" w:ascii="宋体" w:hAnsi="宋体" w:cs="宋体"/>
          <w:color w:val="auto"/>
          <w:sz w:val="18"/>
          <w:szCs w:val="18"/>
          <w:highlight w:val="none"/>
          <w:shd w:val="clear" w:color="auto" w:fill="FFFFFF"/>
          <w:lang w:bidi="ar"/>
        </w:rPr>
        <w:t>投标人须核对《关于印发中小企业划型标准规定的通知》（工信部联企业〔2011〕300号）规定的中小企业划型标准，如实填写声明函。所声明的从业人员人数或营业收入金额不符合中小企业划型标准规定或未按招标文件明确的所属行业填写的，将不予认可。根据政府采购主管部门关于政府采购信息公示的相关要求，如中标单位为中小微企业，其投标文件中所提供的中小企业声明函需在云南省政府采购网随中标结果一并公示，请各投标人如实提供及填写本单位企业情况。</w:t>
      </w:r>
    </w:p>
    <w:p w14:paraId="183E284E">
      <w:pPr>
        <w:spacing w:line="360" w:lineRule="auto"/>
        <w:jc w:val="both"/>
        <w:rPr>
          <w:rFonts w:hint="eastAsia" w:ascii="宋体" w:hAnsi="宋体" w:cs="宋体"/>
          <w:color w:val="auto"/>
          <w:sz w:val="18"/>
          <w:szCs w:val="18"/>
          <w:highlight w:val="none"/>
          <w:shd w:val="clear" w:color="auto" w:fill="FFFFFF"/>
          <w:lang w:bidi="ar"/>
        </w:rPr>
        <w:sectPr>
          <w:pgSz w:w="11905" w:h="16838"/>
          <w:pgMar w:top="1191" w:right="1191" w:bottom="1191" w:left="1304" w:header="567" w:footer="777" w:gutter="0"/>
          <w:pgNumType w:fmt="decimal"/>
          <w:cols w:space="0" w:num="1"/>
          <w:docGrid w:linePitch="312" w:charSpace="0"/>
        </w:sectPr>
      </w:pPr>
      <w:r>
        <w:rPr>
          <w:rFonts w:hint="eastAsia" w:ascii="宋体" w:hAnsi="宋体" w:cs="宋体"/>
          <w:color w:val="auto"/>
          <w:sz w:val="18"/>
          <w:szCs w:val="18"/>
          <w:highlight w:val="none"/>
          <w:shd w:val="clear" w:color="auto" w:fill="FFFFFF"/>
          <w:lang w:bidi="ar"/>
        </w:rPr>
        <w:t>4</w:t>
      </w:r>
      <w:r>
        <w:rPr>
          <w:rFonts w:hint="eastAsia" w:ascii="宋体" w:hAnsi="宋体" w:cs="宋体"/>
          <w:color w:val="auto"/>
          <w:sz w:val="18"/>
          <w:szCs w:val="18"/>
          <w:highlight w:val="none"/>
          <w:shd w:val="clear" w:color="auto" w:fill="FFFFFF"/>
          <w:lang w:val="en-US" w:eastAsia="zh-CN" w:bidi="ar"/>
        </w:rPr>
        <w:t>.</w:t>
      </w:r>
      <w:r>
        <w:rPr>
          <w:rFonts w:hint="eastAsia" w:ascii="宋体" w:hAnsi="宋体" w:cs="宋体"/>
          <w:color w:val="auto"/>
          <w:sz w:val="18"/>
          <w:szCs w:val="18"/>
          <w:highlight w:val="none"/>
          <w:shd w:val="clear" w:color="auto" w:fill="FFFFFF"/>
          <w:lang w:bidi="ar"/>
        </w:rPr>
        <w:t>本项目标的所属《关于印发中小企业划型标准规定的通知》（工信部联企业〔2011〕300号）中所列“其他为列明业”的行业。</w:t>
      </w:r>
    </w:p>
    <w:p w14:paraId="061A86E0">
      <w:pPr>
        <w:spacing w:line="480" w:lineRule="auto"/>
        <w:jc w:val="center"/>
        <w:rPr>
          <w:rFonts w:ascii="宋体" w:hAnsi="宋体"/>
          <w:b/>
          <w:color w:val="auto"/>
          <w:spacing w:val="6"/>
          <w:sz w:val="30"/>
          <w:szCs w:val="30"/>
          <w:highlight w:val="none"/>
        </w:rPr>
      </w:pPr>
      <w:r>
        <w:rPr>
          <w:rFonts w:hint="eastAsia" w:ascii="宋体" w:hAnsi="宋体" w:cs="宋体"/>
          <w:b/>
          <w:bCs/>
          <w:color w:val="auto"/>
          <w:sz w:val="24"/>
          <w:szCs w:val="24"/>
          <w:highlight w:val="none"/>
          <w:shd w:val="clear" w:color="auto" w:fill="FFFFFF"/>
        </w:rPr>
        <w:t>残疾人福利性单位声明函格式</w:t>
      </w:r>
    </w:p>
    <w:p w14:paraId="7DEA6DD0">
      <w:pPr>
        <w:spacing w:line="588" w:lineRule="exact"/>
        <w:ind w:firstLine="504" w:firstLineChars="2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cs="宋体"/>
          <w:color w:val="auto"/>
          <w:sz w:val="24"/>
          <w:szCs w:val="24"/>
          <w:highlight w:val="none"/>
        </w:rPr>
        <w:t>〔2017〕 141</w:t>
      </w:r>
      <w:r>
        <w:rPr>
          <w:rFonts w:hint="eastAsia" w:ascii="宋体" w:hAnsi="宋体" w:cs="宋体"/>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BFDBC59">
      <w:pPr>
        <w:spacing w:line="588" w:lineRule="exact"/>
        <w:ind w:firstLine="504" w:firstLineChars="2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本单位对上述声明的真实性负责。如有虚假，将依法承担相应责任。</w:t>
      </w:r>
    </w:p>
    <w:p w14:paraId="0209A52A">
      <w:pPr>
        <w:spacing w:line="588" w:lineRule="exact"/>
        <w:ind w:firstLine="504" w:firstLineChars="200"/>
        <w:rPr>
          <w:rFonts w:hint="eastAsia" w:ascii="宋体" w:hAnsi="宋体" w:cs="宋体"/>
          <w:color w:val="auto"/>
          <w:spacing w:val="6"/>
          <w:sz w:val="24"/>
          <w:szCs w:val="24"/>
          <w:highlight w:val="none"/>
        </w:rPr>
      </w:pPr>
    </w:p>
    <w:p w14:paraId="5D89ED0F">
      <w:pPr>
        <w:spacing w:line="588" w:lineRule="exact"/>
        <w:ind w:firstLine="504" w:firstLineChars="200"/>
        <w:rPr>
          <w:rFonts w:hint="eastAsia" w:ascii="宋体" w:hAnsi="宋体" w:cs="宋体"/>
          <w:color w:val="auto"/>
          <w:spacing w:val="6"/>
          <w:sz w:val="24"/>
          <w:szCs w:val="24"/>
          <w:highlight w:val="none"/>
        </w:rPr>
      </w:pPr>
    </w:p>
    <w:p w14:paraId="45203FA0">
      <w:pPr>
        <w:tabs>
          <w:tab w:val="left" w:pos="4860"/>
        </w:tabs>
        <w:spacing w:line="588" w:lineRule="exact"/>
        <w:ind w:right="1560" w:firstLine="504" w:firstLineChars="200"/>
        <w:jc w:val="center"/>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 xml:space="preserve">               单位名称（盖章）：</w:t>
      </w:r>
    </w:p>
    <w:p w14:paraId="59DC1233">
      <w:pPr>
        <w:tabs>
          <w:tab w:val="left" w:pos="4860"/>
        </w:tabs>
        <w:spacing w:line="588" w:lineRule="exact"/>
        <w:ind w:right="1560" w:firstLine="504" w:firstLineChars="200"/>
        <w:jc w:val="center"/>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 xml:space="preserve">       日  期：</w:t>
      </w:r>
    </w:p>
    <w:p w14:paraId="7DEE0B66">
      <w:pPr>
        <w:tabs>
          <w:tab w:val="left" w:pos="4860"/>
        </w:tabs>
        <w:spacing w:line="588" w:lineRule="exact"/>
        <w:ind w:right="1560"/>
        <w:jc w:val="both"/>
        <w:rPr>
          <w:rFonts w:hint="eastAsia" w:ascii="宋体" w:hAnsi="宋体" w:cs="宋体"/>
          <w:color w:val="auto"/>
          <w:spacing w:val="6"/>
          <w:sz w:val="24"/>
          <w:szCs w:val="24"/>
          <w:highlight w:val="none"/>
        </w:rPr>
      </w:pPr>
    </w:p>
    <w:p w14:paraId="01133EF7">
      <w:pPr>
        <w:spacing w:line="480" w:lineRule="auto"/>
        <w:jc w:val="center"/>
        <w:rPr>
          <w:rFonts w:hint="eastAsia" w:ascii="宋体" w:hAnsi="宋体" w:cs="宋体"/>
          <w:b/>
          <w:bCs/>
          <w:color w:val="auto"/>
          <w:sz w:val="24"/>
          <w:szCs w:val="24"/>
          <w:highlight w:val="none"/>
          <w:shd w:val="clear" w:color="auto" w:fill="FFFFFF"/>
        </w:rPr>
      </w:pPr>
      <w:r>
        <w:rPr>
          <w:rFonts w:hint="eastAsia" w:ascii="宋体" w:hAnsi="宋体" w:cs="宋体"/>
          <w:b/>
          <w:bCs/>
          <w:color w:val="auto"/>
          <w:sz w:val="24"/>
          <w:szCs w:val="24"/>
          <w:highlight w:val="none"/>
          <w:shd w:val="clear" w:color="auto" w:fill="FFFFFF"/>
        </w:rPr>
        <w:br w:type="page"/>
      </w:r>
      <w:r>
        <w:rPr>
          <w:rFonts w:hint="eastAsia" w:ascii="宋体" w:hAnsi="宋体" w:cs="宋体"/>
          <w:b/>
          <w:bCs/>
          <w:color w:val="auto"/>
          <w:sz w:val="24"/>
          <w:szCs w:val="24"/>
          <w:highlight w:val="none"/>
          <w:shd w:val="clear" w:color="auto" w:fill="FFFFFF"/>
        </w:rPr>
        <w:t>监狱企业证明文件格式</w:t>
      </w:r>
    </w:p>
    <w:p w14:paraId="691AFB8F">
      <w:pPr>
        <w:spacing w:line="48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根据《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F45D8D5">
      <w:pPr>
        <w:spacing w:line="48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监狱企业参加政府采购活动时，应当提供由省级以上监狱管理局、戒毒管理局（含新疆生产建设兵团）出具的属于监狱企业的证明文件。</w:t>
      </w:r>
    </w:p>
    <w:p w14:paraId="261A85C8">
      <w:pPr>
        <w:spacing w:line="48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 xml:space="preserve">   </w:t>
      </w:r>
    </w:p>
    <w:p w14:paraId="6D166446">
      <w:pPr>
        <w:pStyle w:val="11"/>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宋体" w:cs="宋体"/>
          <w:b w:val="0"/>
          <w:bCs w:val="0"/>
          <w:caps w:val="0"/>
          <w:smallCaps w:val="0"/>
          <w:color w:val="auto"/>
          <w:kern w:val="2"/>
          <w:sz w:val="24"/>
          <w:szCs w:val="24"/>
          <w:highlight w:val="none"/>
        </w:rPr>
      </w:pPr>
    </w:p>
    <w:p w14:paraId="2C4F650E">
      <w:pPr>
        <w:pStyle w:val="11"/>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宋体" w:cs="宋体"/>
          <w:b w:val="0"/>
          <w:bCs w:val="0"/>
          <w:caps w:val="0"/>
          <w:smallCaps w:val="0"/>
          <w:color w:val="auto"/>
          <w:kern w:val="2"/>
          <w:sz w:val="24"/>
          <w:szCs w:val="24"/>
          <w:highlight w:val="none"/>
          <w:lang w:val="en-US" w:eastAsia="zh-CN" w:bidi="ar-SA"/>
        </w:rPr>
      </w:pPr>
      <w:r>
        <w:rPr>
          <w:rFonts w:hint="eastAsia" w:ascii="Times New Roman" w:hAnsi="Times New Roman" w:eastAsia="宋体" w:cs="宋体"/>
          <w:b w:val="0"/>
          <w:bCs w:val="0"/>
          <w:caps w:val="0"/>
          <w:smallCaps w:val="0"/>
          <w:color w:val="auto"/>
          <w:kern w:val="2"/>
          <w:sz w:val="24"/>
          <w:szCs w:val="24"/>
          <w:highlight w:val="none"/>
        </w:rPr>
        <w:t>注：符合条件的监狱企业在参加政府采购活动时，应当按《财政部 司法部关于政府采购支持监狱企业发展有关问题的通知》（财库[2014]68 号）提供规定的《监狱企业证明文件》，并对证明文件的真实性负责。</w:t>
      </w:r>
    </w:p>
    <w:sectPr>
      <w:headerReference r:id="rId16" w:type="default"/>
      <w:pgSz w:w="11905" w:h="16838"/>
      <w:pgMar w:top="1191" w:right="1191" w:bottom="1191" w:left="1304" w:header="567" w:footer="777" w:gutter="0"/>
      <w:pgNumType w:fmt="decimal"/>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 w:name="Malgun Gothic">
    <w:panose1 w:val="020B0503020000020004"/>
    <w:charset w:val="81"/>
    <w:family w:val="swiss"/>
    <w:pitch w:val="default"/>
    <w:sig w:usb0="9000002F" w:usb1="29D77CFB" w:usb2="00000012" w:usb3="00000000" w:csb0="0008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35FF4">
    <w:pPr>
      <w:pStyle w:val="19"/>
      <w:jc w:val="center"/>
    </w:pPr>
  </w:p>
  <w:p w14:paraId="2553A7F7">
    <w:pPr>
      <w:pStyle w:val="1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68BB0">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34DC1">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908F6">
    <w:pPr>
      <w:pStyle w:val="19"/>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C2F5D">
    <w:pPr>
      <w:pStyle w:val="1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A8896B">
                          <w:pPr>
                            <w:pStyle w:val="1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7A8896B">
                    <w:pPr>
                      <w:pStyle w:val="19"/>
                    </w:pPr>
                    <w:r>
                      <w:fldChar w:fldCharType="begin"/>
                    </w:r>
                    <w:r>
                      <w:instrText xml:space="preserve"> PAGE  \* MERGEFORMAT </w:instrText>
                    </w:r>
                    <w:r>
                      <w:fldChar w:fldCharType="separate"/>
                    </w:r>
                    <w:r>
                      <w:t>- 1 -</w:t>
                    </w:r>
                    <w:r>
                      <w:fldChar w:fldCharType="end"/>
                    </w:r>
                  </w:p>
                </w:txbxContent>
              </v:textbox>
            </v:shape>
          </w:pict>
        </mc:Fallback>
      </mc:AlternateContent>
    </w:r>
  </w:p>
  <w:p w14:paraId="4A5CA2C8">
    <w:pPr>
      <w:pStyle w:val="19"/>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2C972">
    <w:pPr>
      <w:pStyle w:val="19"/>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8EDFDB">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308EDFDB">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p w14:paraId="6BBE266B">
    <w:pPr>
      <w:pStyle w:val="19"/>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F735E">
    <w:pPr>
      <w:pStyle w:val="1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579ABC">
                          <w:pPr>
                            <w:pStyle w:val="19"/>
                          </w:pPr>
                          <w:r>
                            <w:fldChar w:fldCharType="begin"/>
                          </w:r>
                          <w:r>
                            <w:instrText xml:space="preserve"> PAGE  \* MERGEFORMAT </w:instrText>
                          </w:r>
                          <w:r>
                            <w:fldChar w:fldCharType="separate"/>
                          </w:r>
                          <w:r>
                            <w:t>- 34 -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2579ABC">
                    <w:pPr>
                      <w:pStyle w:val="19"/>
                    </w:pPr>
                    <w:r>
                      <w:fldChar w:fldCharType="begin"/>
                    </w:r>
                    <w:r>
                      <w:instrText xml:space="preserve"> PAGE  \* MERGEFORMAT </w:instrText>
                    </w:r>
                    <w:r>
                      <w:fldChar w:fldCharType="separate"/>
                    </w:r>
                    <w:r>
                      <w:t>- 34 -</w:t>
                    </w:r>
                    <w:r>
                      <w:fldChar w:fldCharType="end"/>
                    </w:r>
                  </w:p>
                </w:txbxContent>
              </v:textbox>
            </v:shape>
          </w:pict>
        </mc:Fallback>
      </mc:AlternateContent>
    </w:r>
  </w:p>
  <w:p w14:paraId="6A6E2583">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DDFC">
    <w:pPr>
      <w:pStyle w:val="21"/>
      <w:pBdr>
        <w:top w:val="none" w:color="auto" w:sz="0" w:space="1"/>
        <w:left w:val="none" w:color="auto" w:sz="0" w:space="4"/>
        <w:bottom w:val="none" w:color="auto" w:sz="0" w:space="1"/>
        <w:right w:val="none" w:color="auto" w:sz="0" w:space="4"/>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A595B">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C1A24">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712E3">
    <w:pPr>
      <w:pStyle w:val="21"/>
      <w:pBdr>
        <w:bottom w:val="single" w:color="auto" w:sz="4" w:space="1"/>
      </w:pBdr>
      <w:jc w:val="both"/>
    </w:pPr>
    <w:r>
      <w:rPr>
        <w:rFonts w:hint="eastAsia" w:ascii="宋体" w:hAnsi="宋体"/>
        <w:sz w:val="44"/>
        <w:szCs w:val="44"/>
        <w:highlight w:val="none"/>
      </w:rPr>
      <w:drawing>
        <wp:inline distT="0" distB="0" distL="114300" distR="114300">
          <wp:extent cx="136525" cy="145415"/>
          <wp:effectExtent l="0" t="0" r="15875" b="6985"/>
          <wp:docPr id="6" name="图片 2" descr="透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透明logo"/>
                  <pic:cNvPicPr>
                    <a:picLocks noChangeAspect="1"/>
                  </pic:cNvPicPr>
                </pic:nvPicPr>
                <pic:blipFill>
                  <a:blip r:embed="rId1"/>
                  <a:stretch>
                    <a:fillRect/>
                  </a:stretch>
                </pic:blipFill>
                <pic:spPr>
                  <a:xfrm>
                    <a:off x="0" y="0"/>
                    <a:ext cx="136525" cy="145415"/>
                  </a:xfrm>
                  <a:prstGeom prst="rect">
                    <a:avLst/>
                  </a:prstGeom>
                  <a:noFill/>
                  <a:ln>
                    <a:noFill/>
                  </a:ln>
                </pic:spPr>
              </pic:pic>
            </a:graphicData>
          </a:graphic>
        </wp:inline>
      </w:drawing>
    </w:r>
    <w:r>
      <w:rPr>
        <w:rFonts w:hint="eastAsia" w:ascii="宋体" w:hAnsi="宋体"/>
        <w:b/>
        <w:bCs/>
        <w:sz w:val="21"/>
        <w:szCs w:val="21"/>
      </w:rPr>
      <w:t>云南元大工程咨询有限责任公司</w:t>
    </w:r>
    <w:r>
      <w:rPr>
        <w:rFonts w:hint="eastAsia"/>
        <w:b/>
        <w:bCs/>
        <w:sz w:val="21"/>
        <w:szCs w:val="21"/>
      </w:rPr>
      <w:t xml:space="preserve">          </w:t>
    </w:r>
    <w:r>
      <w:rPr>
        <w:rFonts w:hint="eastAsia"/>
        <w:b/>
        <w:bCs/>
        <w:sz w:val="21"/>
        <w:szCs w:val="21"/>
        <w:lang w:val="en-US" w:eastAsia="zh-CN"/>
      </w:rPr>
      <w:t xml:space="preserve"> </w:t>
    </w:r>
    <w:r>
      <w:rPr>
        <w:rFonts w:hint="eastAsia"/>
        <w:b/>
        <w:bCs/>
        <w:sz w:val="21"/>
        <w:szCs w:val="21"/>
      </w:rPr>
      <w:t xml:space="preserve"> </w:t>
    </w:r>
    <w:r>
      <w:rPr>
        <w:rFonts w:hint="eastAsia"/>
        <w:b/>
        <w:bCs/>
        <w:sz w:val="21"/>
        <w:szCs w:val="21"/>
        <w:lang w:val="en-US" w:eastAsia="zh-CN"/>
      </w:rPr>
      <w:t xml:space="preserve">     </w:t>
    </w:r>
    <w:r>
      <w:rPr>
        <w:rFonts w:hint="eastAsia"/>
        <w:b/>
        <w:bCs/>
        <w:sz w:val="21"/>
        <w:szCs w:val="21"/>
      </w:rPr>
      <w:t xml:space="preserve">             </w:t>
    </w:r>
    <w:r>
      <w:rPr>
        <w:rFonts w:hint="eastAsia"/>
        <w:b/>
        <w:bCs/>
        <w:sz w:val="21"/>
        <w:szCs w:val="21"/>
        <w:lang w:val="en-US" w:eastAsia="zh-CN"/>
      </w:rPr>
      <w:t xml:space="preserve">    </w:t>
    </w:r>
    <w:r>
      <w:rPr>
        <w:rFonts w:hint="eastAsia"/>
        <w:b/>
        <w:bCs/>
        <w:sz w:val="21"/>
        <w:szCs w:val="21"/>
      </w:rPr>
      <w:t xml:space="preserve">                    </w:t>
    </w:r>
    <w:r>
      <w:rPr>
        <w:rFonts w:hint="eastAsia" w:ascii="宋体" w:hAnsi="宋体"/>
        <w:b/>
        <w:bCs/>
        <w:color w:val="000000"/>
        <w:sz w:val="21"/>
        <w:szCs w:val="21"/>
      </w:rPr>
      <w:t>招标文件</w:t>
    </w:r>
    <w:r>
      <w:rPr>
        <w:rFonts w:hint="eastAsia"/>
        <w:b/>
        <w:bCs/>
        <w:sz w:val="21"/>
        <w:szCs w:val="21"/>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E3ED8">
    <w:pPr>
      <w:pStyle w:val="21"/>
      <w:pBdr>
        <w:bottom w:val="none" w:color="auto" w:sz="0" w:space="0"/>
      </w:pBdr>
      <w:jc w:val="both"/>
      <w:rPr>
        <w:i/>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0C04F">
    <w:pPr>
      <w:pStyle w:val="21"/>
      <w:pBdr>
        <w:bottom w:val="single" w:color="auto" w:sz="4" w:space="1"/>
      </w:pBdr>
      <w:jc w:val="both"/>
    </w:pPr>
    <w:r>
      <w:rPr>
        <w:rFonts w:hint="eastAsia" w:ascii="宋体" w:hAnsi="宋体"/>
        <w:sz w:val="44"/>
        <w:szCs w:val="44"/>
      </w:rPr>
      <w:drawing>
        <wp:inline distT="0" distB="0" distL="114300" distR="114300">
          <wp:extent cx="136525" cy="145415"/>
          <wp:effectExtent l="0" t="0" r="15875" b="6985"/>
          <wp:docPr id="3" name="图片 3" descr="透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透明logo"/>
                  <pic:cNvPicPr>
                    <a:picLocks noChangeAspect="1"/>
                  </pic:cNvPicPr>
                </pic:nvPicPr>
                <pic:blipFill>
                  <a:blip r:embed="rId1"/>
                  <a:stretch>
                    <a:fillRect/>
                  </a:stretch>
                </pic:blipFill>
                <pic:spPr>
                  <a:xfrm>
                    <a:off x="0" y="0"/>
                    <a:ext cx="136525" cy="145415"/>
                  </a:xfrm>
                  <a:prstGeom prst="rect">
                    <a:avLst/>
                  </a:prstGeom>
                  <a:noFill/>
                  <a:ln>
                    <a:noFill/>
                  </a:ln>
                </pic:spPr>
              </pic:pic>
            </a:graphicData>
          </a:graphic>
        </wp:inline>
      </w:drawing>
    </w:r>
    <w:r>
      <w:rPr>
        <w:rFonts w:hint="eastAsia" w:ascii="宋体" w:hAnsi="宋体"/>
        <w:b/>
        <w:bCs/>
        <w:sz w:val="21"/>
        <w:szCs w:val="21"/>
      </w:rPr>
      <w:t>云南元大工程咨询有限责任公司</w:t>
    </w:r>
    <w:r>
      <w:rPr>
        <w:rFonts w:hint="eastAsia"/>
        <w:b/>
        <w:bCs/>
        <w:sz w:val="21"/>
        <w:szCs w:val="21"/>
      </w:rPr>
      <w:t xml:space="preserve">                                                 </w:t>
    </w:r>
    <w:r>
      <w:rPr>
        <w:rFonts w:hint="eastAsia" w:ascii="宋体" w:hAnsi="宋体"/>
        <w:b/>
        <w:bCs/>
        <w:color w:val="000000"/>
        <w:sz w:val="21"/>
        <w:szCs w:val="21"/>
      </w:rPr>
      <w:t>招标文件</w:t>
    </w:r>
    <w:r>
      <w:rPr>
        <w:rFonts w:hint="eastAsia"/>
        <w:b/>
        <w:bCs/>
        <w:sz w:val="21"/>
        <w:szCs w:val="21"/>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40646">
    <w:pPr>
      <w:pStyle w:val="21"/>
      <w:pBdr>
        <w:bottom w:val="single" w:color="auto" w:sz="4" w:space="1"/>
      </w:pBdr>
      <w:jc w:val="both"/>
    </w:pPr>
    <w:r>
      <w:rPr>
        <w:rFonts w:hint="eastAsia" w:ascii="宋体" w:hAnsi="宋体"/>
        <w:sz w:val="44"/>
        <w:szCs w:val="44"/>
      </w:rPr>
      <w:drawing>
        <wp:inline distT="0" distB="0" distL="114300" distR="114300">
          <wp:extent cx="136525" cy="145415"/>
          <wp:effectExtent l="0" t="0" r="15875" b="6985"/>
          <wp:docPr id="8" name="图片 8" descr="透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透明logo"/>
                  <pic:cNvPicPr>
                    <a:picLocks noChangeAspect="1"/>
                  </pic:cNvPicPr>
                </pic:nvPicPr>
                <pic:blipFill>
                  <a:blip r:embed="rId1"/>
                  <a:stretch>
                    <a:fillRect/>
                  </a:stretch>
                </pic:blipFill>
                <pic:spPr>
                  <a:xfrm>
                    <a:off x="0" y="0"/>
                    <a:ext cx="136525" cy="145415"/>
                  </a:xfrm>
                  <a:prstGeom prst="rect">
                    <a:avLst/>
                  </a:prstGeom>
                  <a:noFill/>
                  <a:ln>
                    <a:noFill/>
                  </a:ln>
                </pic:spPr>
              </pic:pic>
            </a:graphicData>
          </a:graphic>
        </wp:inline>
      </w:drawing>
    </w:r>
    <w:r>
      <w:rPr>
        <w:rFonts w:hint="eastAsia" w:ascii="宋体" w:hAnsi="宋体"/>
        <w:b/>
        <w:bCs/>
        <w:sz w:val="21"/>
        <w:szCs w:val="21"/>
      </w:rPr>
      <w:t>云南元大工程咨询有限责任公司</w:t>
    </w:r>
    <w:r>
      <w:rPr>
        <w:rFonts w:hint="eastAsia"/>
        <w:b/>
        <w:bCs/>
        <w:sz w:val="21"/>
        <w:szCs w:val="21"/>
      </w:rPr>
      <w:t xml:space="preserve">                                                   </w:t>
    </w:r>
    <w:r>
      <w:rPr>
        <w:rFonts w:hint="eastAsia" w:ascii="宋体" w:hAnsi="宋体"/>
        <w:b/>
        <w:bCs/>
        <w:color w:val="000000"/>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D5B86"/>
    <w:multiLevelType w:val="singleLevel"/>
    <w:tmpl w:val="814D5B86"/>
    <w:lvl w:ilvl="0" w:tentative="0">
      <w:start w:val="10"/>
      <w:numFmt w:val="decimal"/>
      <w:suff w:val="space"/>
      <w:lvlText w:val="%1."/>
      <w:lvlJc w:val="left"/>
    </w:lvl>
  </w:abstractNum>
  <w:abstractNum w:abstractNumId="1">
    <w:nsid w:val="216BE14E"/>
    <w:multiLevelType w:val="singleLevel"/>
    <w:tmpl w:val="216BE14E"/>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0"/>
  <w:drawingGridVerticalSpacing w:val="-794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diMzc0MmM0N2VhZjkzMGRmZDk5ZWZhMDdjM2YzZGMifQ=="/>
  </w:docVars>
  <w:rsids>
    <w:rsidRoot w:val="001A07FD"/>
    <w:rsid w:val="00033965"/>
    <w:rsid w:val="000636B3"/>
    <w:rsid w:val="0009057F"/>
    <w:rsid w:val="00095479"/>
    <w:rsid w:val="000B736F"/>
    <w:rsid w:val="000D0527"/>
    <w:rsid w:val="000D2968"/>
    <w:rsid w:val="000F6CD5"/>
    <w:rsid w:val="001750E8"/>
    <w:rsid w:val="00176453"/>
    <w:rsid w:val="00180065"/>
    <w:rsid w:val="00182CB0"/>
    <w:rsid w:val="001A07FD"/>
    <w:rsid w:val="001B7434"/>
    <w:rsid w:val="001D0B20"/>
    <w:rsid w:val="001F3ADA"/>
    <w:rsid w:val="00200E93"/>
    <w:rsid w:val="002122F5"/>
    <w:rsid w:val="002159E1"/>
    <w:rsid w:val="002235B9"/>
    <w:rsid w:val="00253C2F"/>
    <w:rsid w:val="0026685E"/>
    <w:rsid w:val="002840E3"/>
    <w:rsid w:val="002D6764"/>
    <w:rsid w:val="00303C23"/>
    <w:rsid w:val="00324338"/>
    <w:rsid w:val="003347CA"/>
    <w:rsid w:val="00344F31"/>
    <w:rsid w:val="003465E2"/>
    <w:rsid w:val="00346AC4"/>
    <w:rsid w:val="0036146A"/>
    <w:rsid w:val="003815C9"/>
    <w:rsid w:val="00396FA1"/>
    <w:rsid w:val="003B4871"/>
    <w:rsid w:val="003C31D6"/>
    <w:rsid w:val="003C6633"/>
    <w:rsid w:val="003E46C2"/>
    <w:rsid w:val="00403F20"/>
    <w:rsid w:val="004129EB"/>
    <w:rsid w:val="00483E43"/>
    <w:rsid w:val="00490B57"/>
    <w:rsid w:val="004A1EB8"/>
    <w:rsid w:val="004B3D42"/>
    <w:rsid w:val="00512AFB"/>
    <w:rsid w:val="0052664D"/>
    <w:rsid w:val="005451A9"/>
    <w:rsid w:val="005652C3"/>
    <w:rsid w:val="00572B7B"/>
    <w:rsid w:val="00583614"/>
    <w:rsid w:val="005A10FC"/>
    <w:rsid w:val="005B0DA8"/>
    <w:rsid w:val="005E01DB"/>
    <w:rsid w:val="005F7D25"/>
    <w:rsid w:val="00670B46"/>
    <w:rsid w:val="006A5253"/>
    <w:rsid w:val="006A6C89"/>
    <w:rsid w:val="00710BEE"/>
    <w:rsid w:val="00717CF5"/>
    <w:rsid w:val="007500D9"/>
    <w:rsid w:val="00761E55"/>
    <w:rsid w:val="007C49FC"/>
    <w:rsid w:val="007D1F37"/>
    <w:rsid w:val="007F3F37"/>
    <w:rsid w:val="00802276"/>
    <w:rsid w:val="008102F1"/>
    <w:rsid w:val="00816F9A"/>
    <w:rsid w:val="00836041"/>
    <w:rsid w:val="00841DBF"/>
    <w:rsid w:val="00877FA2"/>
    <w:rsid w:val="008A7549"/>
    <w:rsid w:val="008B4280"/>
    <w:rsid w:val="008E3883"/>
    <w:rsid w:val="008F3520"/>
    <w:rsid w:val="00905380"/>
    <w:rsid w:val="00916252"/>
    <w:rsid w:val="00917229"/>
    <w:rsid w:val="009A79B1"/>
    <w:rsid w:val="009B3FC3"/>
    <w:rsid w:val="009D7A4C"/>
    <w:rsid w:val="009E139C"/>
    <w:rsid w:val="009E35CF"/>
    <w:rsid w:val="009E4B09"/>
    <w:rsid w:val="009E71FE"/>
    <w:rsid w:val="009F4950"/>
    <w:rsid w:val="00A066DE"/>
    <w:rsid w:val="00A12ACE"/>
    <w:rsid w:val="00A31A74"/>
    <w:rsid w:val="00A36387"/>
    <w:rsid w:val="00A36CF8"/>
    <w:rsid w:val="00A42012"/>
    <w:rsid w:val="00A73EA0"/>
    <w:rsid w:val="00A81DF7"/>
    <w:rsid w:val="00AB35C0"/>
    <w:rsid w:val="00AC5C4C"/>
    <w:rsid w:val="00AE0E18"/>
    <w:rsid w:val="00AE4E5E"/>
    <w:rsid w:val="00B07FB4"/>
    <w:rsid w:val="00B21AAE"/>
    <w:rsid w:val="00B25D12"/>
    <w:rsid w:val="00B26EA4"/>
    <w:rsid w:val="00B537BC"/>
    <w:rsid w:val="00B707ED"/>
    <w:rsid w:val="00B7266A"/>
    <w:rsid w:val="00BB1683"/>
    <w:rsid w:val="00BB6281"/>
    <w:rsid w:val="00BB67C4"/>
    <w:rsid w:val="00BC37D1"/>
    <w:rsid w:val="00BD79AC"/>
    <w:rsid w:val="00BE317C"/>
    <w:rsid w:val="00C45F16"/>
    <w:rsid w:val="00C57E14"/>
    <w:rsid w:val="00C61887"/>
    <w:rsid w:val="00C87DBE"/>
    <w:rsid w:val="00C97CCC"/>
    <w:rsid w:val="00CC79B5"/>
    <w:rsid w:val="00CD1788"/>
    <w:rsid w:val="00CE112A"/>
    <w:rsid w:val="00CE24BD"/>
    <w:rsid w:val="00CF3A7F"/>
    <w:rsid w:val="00D0774B"/>
    <w:rsid w:val="00D27755"/>
    <w:rsid w:val="00D31A62"/>
    <w:rsid w:val="00D335A1"/>
    <w:rsid w:val="00D71F18"/>
    <w:rsid w:val="00DE7816"/>
    <w:rsid w:val="00E04CED"/>
    <w:rsid w:val="00E35A30"/>
    <w:rsid w:val="00E664C0"/>
    <w:rsid w:val="00E777D2"/>
    <w:rsid w:val="00E964D4"/>
    <w:rsid w:val="00EA04F9"/>
    <w:rsid w:val="00EB7E60"/>
    <w:rsid w:val="00ED7AA1"/>
    <w:rsid w:val="00EF493A"/>
    <w:rsid w:val="00EF5289"/>
    <w:rsid w:val="00F015B1"/>
    <w:rsid w:val="00F04FBF"/>
    <w:rsid w:val="00F2141D"/>
    <w:rsid w:val="00F774D7"/>
    <w:rsid w:val="00F94929"/>
    <w:rsid w:val="00FB007A"/>
    <w:rsid w:val="00FE5F42"/>
    <w:rsid w:val="011B3EA0"/>
    <w:rsid w:val="0123601C"/>
    <w:rsid w:val="01241D66"/>
    <w:rsid w:val="012757C8"/>
    <w:rsid w:val="01301ABF"/>
    <w:rsid w:val="01312018"/>
    <w:rsid w:val="014557C2"/>
    <w:rsid w:val="01614141"/>
    <w:rsid w:val="01924330"/>
    <w:rsid w:val="01A03B05"/>
    <w:rsid w:val="01B666C0"/>
    <w:rsid w:val="01B914AF"/>
    <w:rsid w:val="01BD1C95"/>
    <w:rsid w:val="01C20BC1"/>
    <w:rsid w:val="01CA3BA6"/>
    <w:rsid w:val="01EA2B5A"/>
    <w:rsid w:val="01F7345C"/>
    <w:rsid w:val="0206745D"/>
    <w:rsid w:val="0210056D"/>
    <w:rsid w:val="021C1248"/>
    <w:rsid w:val="02290933"/>
    <w:rsid w:val="022D4D30"/>
    <w:rsid w:val="02353A89"/>
    <w:rsid w:val="023E7457"/>
    <w:rsid w:val="024240C0"/>
    <w:rsid w:val="02443EEB"/>
    <w:rsid w:val="024B4F97"/>
    <w:rsid w:val="024C6635"/>
    <w:rsid w:val="024C7432"/>
    <w:rsid w:val="025D08EA"/>
    <w:rsid w:val="025F66DA"/>
    <w:rsid w:val="02693423"/>
    <w:rsid w:val="02804363"/>
    <w:rsid w:val="028C75B5"/>
    <w:rsid w:val="02B33D32"/>
    <w:rsid w:val="02C46BBB"/>
    <w:rsid w:val="02FC35C2"/>
    <w:rsid w:val="030C6CC9"/>
    <w:rsid w:val="03157DC2"/>
    <w:rsid w:val="03250248"/>
    <w:rsid w:val="033032BD"/>
    <w:rsid w:val="0332405E"/>
    <w:rsid w:val="033755DF"/>
    <w:rsid w:val="03406BAA"/>
    <w:rsid w:val="034A3564"/>
    <w:rsid w:val="03600923"/>
    <w:rsid w:val="036602D3"/>
    <w:rsid w:val="037449EB"/>
    <w:rsid w:val="037811F4"/>
    <w:rsid w:val="037B00CE"/>
    <w:rsid w:val="037D739A"/>
    <w:rsid w:val="038A1BB2"/>
    <w:rsid w:val="03A857A2"/>
    <w:rsid w:val="03AB51FA"/>
    <w:rsid w:val="03B15391"/>
    <w:rsid w:val="03B46C2F"/>
    <w:rsid w:val="03BE51E1"/>
    <w:rsid w:val="03C42873"/>
    <w:rsid w:val="03C42E3C"/>
    <w:rsid w:val="03CF7C4F"/>
    <w:rsid w:val="03D53456"/>
    <w:rsid w:val="03DC2BD7"/>
    <w:rsid w:val="03E07A24"/>
    <w:rsid w:val="03E54623"/>
    <w:rsid w:val="03E92685"/>
    <w:rsid w:val="03E95A9C"/>
    <w:rsid w:val="03F434D0"/>
    <w:rsid w:val="03F6163E"/>
    <w:rsid w:val="03F74B53"/>
    <w:rsid w:val="04025879"/>
    <w:rsid w:val="040269B1"/>
    <w:rsid w:val="040556DD"/>
    <w:rsid w:val="040B7076"/>
    <w:rsid w:val="040C5552"/>
    <w:rsid w:val="040F20B8"/>
    <w:rsid w:val="0414147C"/>
    <w:rsid w:val="041D3B8B"/>
    <w:rsid w:val="04222C11"/>
    <w:rsid w:val="0425740B"/>
    <w:rsid w:val="042926A3"/>
    <w:rsid w:val="042D375A"/>
    <w:rsid w:val="04324C9F"/>
    <w:rsid w:val="043A5387"/>
    <w:rsid w:val="04425FE9"/>
    <w:rsid w:val="0443383E"/>
    <w:rsid w:val="04477AA3"/>
    <w:rsid w:val="045D35D9"/>
    <w:rsid w:val="047510F2"/>
    <w:rsid w:val="047667B8"/>
    <w:rsid w:val="047F280B"/>
    <w:rsid w:val="048164E5"/>
    <w:rsid w:val="048F44C8"/>
    <w:rsid w:val="049B394B"/>
    <w:rsid w:val="04A20E0C"/>
    <w:rsid w:val="04A66578"/>
    <w:rsid w:val="04B0389B"/>
    <w:rsid w:val="04BB2CD9"/>
    <w:rsid w:val="04BF6B17"/>
    <w:rsid w:val="04C26BF4"/>
    <w:rsid w:val="04C85125"/>
    <w:rsid w:val="04D408DC"/>
    <w:rsid w:val="04D94F44"/>
    <w:rsid w:val="04E860AA"/>
    <w:rsid w:val="04F71B9F"/>
    <w:rsid w:val="04FC3C10"/>
    <w:rsid w:val="04FD22C2"/>
    <w:rsid w:val="0506793D"/>
    <w:rsid w:val="05084F0D"/>
    <w:rsid w:val="050956C0"/>
    <w:rsid w:val="05143E2A"/>
    <w:rsid w:val="05187D21"/>
    <w:rsid w:val="052724FE"/>
    <w:rsid w:val="0534627A"/>
    <w:rsid w:val="053A13B6"/>
    <w:rsid w:val="053D376D"/>
    <w:rsid w:val="053E3BA1"/>
    <w:rsid w:val="0555404A"/>
    <w:rsid w:val="0559183C"/>
    <w:rsid w:val="05772566"/>
    <w:rsid w:val="059262F7"/>
    <w:rsid w:val="0596776E"/>
    <w:rsid w:val="059B5F8E"/>
    <w:rsid w:val="05A0049A"/>
    <w:rsid w:val="05AC4812"/>
    <w:rsid w:val="05AD77C3"/>
    <w:rsid w:val="05B30974"/>
    <w:rsid w:val="05C3315A"/>
    <w:rsid w:val="05C535A6"/>
    <w:rsid w:val="05D53592"/>
    <w:rsid w:val="05DF00ED"/>
    <w:rsid w:val="05E22812"/>
    <w:rsid w:val="05F12C37"/>
    <w:rsid w:val="060774EA"/>
    <w:rsid w:val="060D49F6"/>
    <w:rsid w:val="060D4BC6"/>
    <w:rsid w:val="06193506"/>
    <w:rsid w:val="06265ABD"/>
    <w:rsid w:val="06435279"/>
    <w:rsid w:val="06557011"/>
    <w:rsid w:val="06671F51"/>
    <w:rsid w:val="06687B06"/>
    <w:rsid w:val="06720437"/>
    <w:rsid w:val="067656DA"/>
    <w:rsid w:val="06896484"/>
    <w:rsid w:val="069A569A"/>
    <w:rsid w:val="069D440F"/>
    <w:rsid w:val="06A2574F"/>
    <w:rsid w:val="06A72A7B"/>
    <w:rsid w:val="06B50CF4"/>
    <w:rsid w:val="06B97603"/>
    <w:rsid w:val="06BA27AF"/>
    <w:rsid w:val="06D3561E"/>
    <w:rsid w:val="06E43D08"/>
    <w:rsid w:val="06FD269B"/>
    <w:rsid w:val="070103DE"/>
    <w:rsid w:val="070362DC"/>
    <w:rsid w:val="070F6488"/>
    <w:rsid w:val="071161E4"/>
    <w:rsid w:val="07156355"/>
    <w:rsid w:val="072D5B54"/>
    <w:rsid w:val="07413064"/>
    <w:rsid w:val="074309F6"/>
    <w:rsid w:val="074958E1"/>
    <w:rsid w:val="074F7829"/>
    <w:rsid w:val="07532062"/>
    <w:rsid w:val="075839AB"/>
    <w:rsid w:val="075F2FF8"/>
    <w:rsid w:val="0766405F"/>
    <w:rsid w:val="076F426C"/>
    <w:rsid w:val="07747A5D"/>
    <w:rsid w:val="077C6EA8"/>
    <w:rsid w:val="07870AFB"/>
    <w:rsid w:val="0788780A"/>
    <w:rsid w:val="078F7797"/>
    <w:rsid w:val="079C1EB4"/>
    <w:rsid w:val="07A3722F"/>
    <w:rsid w:val="07A840A1"/>
    <w:rsid w:val="07AC3018"/>
    <w:rsid w:val="07AD5E6F"/>
    <w:rsid w:val="07B16A3E"/>
    <w:rsid w:val="07B338A6"/>
    <w:rsid w:val="07BE249F"/>
    <w:rsid w:val="07C846A8"/>
    <w:rsid w:val="07CA340E"/>
    <w:rsid w:val="07CC4EFF"/>
    <w:rsid w:val="07D13516"/>
    <w:rsid w:val="07D366A6"/>
    <w:rsid w:val="07DB3B52"/>
    <w:rsid w:val="07DC0946"/>
    <w:rsid w:val="07DC322C"/>
    <w:rsid w:val="07F50C16"/>
    <w:rsid w:val="07FB26AE"/>
    <w:rsid w:val="08065D90"/>
    <w:rsid w:val="08095CCE"/>
    <w:rsid w:val="08272C43"/>
    <w:rsid w:val="08365435"/>
    <w:rsid w:val="083E0654"/>
    <w:rsid w:val="08412454"/>
    <w:rsid w:val="084272AE"/>
    <w:rsid w:val="08533769"/>
    <w:rsid w:val="087B7D1C"/>
    <w:rsid w:val="0885365E"/>
    <w:rsid w:val="089A4BD1"/>
    <w:rsid w:val="089E56AF"/>
    <w:rsid w:val="08A1040D"/>
    <w:rsid w:val="08B0009A"/>
    <w:rsid w:val="08B15B1B"/>
    <w:rsid w:val="08BB6BFA"/>
    <w:rsid w:val="08BD3F4B"/>
    <w:rsid w:val="08C044A0"/>
    <w:rsid w:val="08C62846"/>
    <w:rsid w:val="08C6368D"/>
    <w:rsid w:val="08C90A87"/>
    <w:rsid w:val="08C96AB5"/>
    <w:rsid w:val="08CB57A5"/>
    <w:rsid w:val="08D22A7B"/>
    <w:rsid w:val="08D31006"/>
    <w:rsid w:val="08D70FF7"/>
    <w:rsid w:val="08D94821"/>
    <w:rsid w:val="08DB07BA"/>
    <w:rsid w:val="08DC10A8"/>
    <w:rsid w:val="08DD4978"/>
    <w:rsid w:val="08DE3382"/>
    <w:rsid w:val="08F77C00"/>
    <w:rsid w:val="08F96B2F"/>
    <w:rsid w:val="08FA7E97"/>
    <w:rsid w:val="08FB002A"/>
    <w:rsid w:val="08FB7D62"/>
    <w:rsid w:val="09045F63"/>
    <w:rsid w:val="091D7025"/>
    <w:rsid w:val="091D7C84"/>
    <w:rsid w:val="091F2158"/>
    <w:rsid w:val="092A2AC4"/>
    <w:rsid w:val="092B34F0"/>
    <w:rsid w:val="092B455A"/>
    <w:rsid w:val="09344F53"/>
    <w:rsid w:val="093E6C11"/>
    <w:rsid w:val="094D5E95"/>
    <w:rsid w:val="09521670"/>
    <w:rsid w:val="09733FA3"/>
    <w:rsid w:val="09734004"/>
    <w:rsid w:val="0977168F"/>
    <w:rsid w:val="0981256E"/>
    <w:rsid w:val="09925E73"/>
    <w:rsid w:val="09994350"/>
    <w:rsid w:val="09AD0670"/>
    <w:rsid w:val="09AF7B3F"/>
    <w:rsid w:val="09B72FD5"/>
    <w:rsid w:val="09BE4364"/>
    <w:rsid w:val="09BF1719"/>
    <w:rsid w:val="09C57CF0"/>
    <w:rsid w:val="09C82ECF"/>
    <w:rsid w:val="09DE3D12"/>
    <w:rsid w:val="09ED2E9B"/>
    <w:rsid w:val="09F1006B"/>
    <w:rsid w:val="09F67F84"/>
    <w:rsid w:val="09FC34DE"/>
    <w:rsid w:val="0A1A4C7D"/>
    <w:rsid w:val="0A2166A1"/>
    <w:rsid w:val="0A262B9A"/>
    <w:rsid w:val="0A28790D"/>
    <w:rsid w:val="0A2D01F0"/>
    <w:rsid w:val="0A4E393A"/>
    <w:rsid w:val="0A5371D6"/>
    <w:rsid w:val="0A553658"/>
    <w:rsid w:val="0A5B1BB3"/>
    <w:rsid w:val="0A5F4396"/>
    <w:rsid w:val="0A6A65D8"/>
    <w:rsid w:val="0A727C4A"/>
    <w:rsid w:val="0A7C50C5"/>
    <w:rsid w:val="0A810269"/>
    <w:rsid w:val="0A9713FA"/>
    <w:rsid w:val="0AAA1760"/>
    <w:rsid w:val="0ABA6138"/>
    <w:rsid w:val="0AC0410C"/>
    <w:rsid w:val="0AC216A5"/>
    <w:rsid w:val="0AC50208"/>
    <w:rsid w:val="0AD7311D"/>
    <w:rsid w:val="0AEB32E5"/>
    <w:rsid w:val="0AF107DD"/>
    <w:rsid w:val="0AF31380"/>
    <w:rsid w:val="0AF50259"/>
    <w:rsid w:val="0AF62D40"/>
    <w:rsid w:val="0B0E73C3"/>
    <w:rsid w:val="0B106E41"/>
    <w:rsid w:val="0B1A2D41"/>
    <w:rsid w:val="0B253A19"/>
    <w:rsid w:val="0B2C3ECB"/>
    <w:rsid w:val="0B3E081F"/>
    <w:rsid w:val="0B3F14BE"/>
    <w:rsid w:val="0B402E91"/>
    <w:rsid w:val="0B4C599F"/>
    <w:rsid w:val="0B4F1486"/>
    <w:rsid w:val="0B53032B"/>
    <w:rsid w:val="0B541636"/>
    <w:rsid w:val="0B5516D7"/>
    <w:rsid w:val="0B852289"/>
    <w:rsid w:val="0B885EBC"/>
    <w:rsid w:val="0B901D30"/>
    <w:rsid w:val="0B9730BE"/>
    <w:rsid w:val="0BA404B0"/>
    <w:rsid w:val="0BAD7DDB"/>
    <w:rsid w:val="0BB82D38"/>
    <w:rsid w:val="0BC83278"/>
    <w:rsid w:val="0BCE7C92"/>
    <w:rsid w:val="0BD92501"/>
    <w:rsid w:val="0BE2426F"/>
    <w:rsid w:val="0BE55AB8"/>
    <w:rsid w:val="0BE9107E"/>
    <w:rsid w:val="0BF039C5"/>
    <w:rsid w:val="0BFA364D"/>
    <w:rsid w:val="0BFF5852"/>
    <w:rsid w:val="0C092397"/>
    <w:rsid w:val="0C0D3381"/>
    <w:rsid w:val="0C0E1C87"/>
    <w:rsid w:val="0C190A0A"/>
    <w:rsid w:val="0C1A784C"/>
    <w:rsid w:val="0C201306"/>
    <w:rsid w:val="0C2030B4"/>
    <w:rsid w:val="0C287EA8"/>
    <w:rsid w:val="0C312B42"/>
    <w:rsid w:val="0C367838"/>
    <w:rsid w:val="0C39708C"/>
    <w:rsid w:val="0C3B6140"/>
    <w:rsid w:val="0C3C2F8D"/>
    <w:rsid w:val="0C3F6EAB"/>
    <w:rsid w:val="0C452B1A"/>
    <w:rsid w:val="0C4A232F"/>
    <w:rsid w:val="0C504988"/>
    <w:rsid w:val="0C5160B2"/>
    <w:rsid w:val="0C526B31"/>
    <w:rsid w:val="0C556C9B"/>
    <w:rsid w:val="0C597BDD"/>
    <w:rsid w:val="0C762CD4"/>
    <w:rsid w:val="0C8A742F"/>
    <w:rsid w:val="0C9C75E1"/>
    <w:rsid w:val="0CA20475"/>
    <w:rsid w:val="0CA97251"/>
    <w:rsid w:val="0CB41A4E"/>
    <w:rsid w:val="0CB76EDE"/>
    <w:rsid w:val="0CBE5BE1"/>
    <w:rsid w:val="0CE137CF"/>
    <w:rsid w:val="0CEB781F"/>
    <w:rsid w:val="0CF12CA2"/>
    <w:rsid w:val="0CF47059"/>
    <w:rsid w:val="0CF66726"/>
    <w:rsid w:val="0D0D0C68"/>
    <w:rsid w:val="0D1A2F5E"/>
    <w:rsid w:val="0D262447"/>
    <w:rsid w:val="0D31309F"/>
    <w:rsid w:val="0D3416CE"/>
    <w:rsid w:val="0D352B8F"/>
    <w:rsid w:val="0D3B7FF1"/>
    <w:rsid w:val="0D3D37F2"/>
    <w:rsid w:val="0D423EAE"/>
    <w:rsid w:val="0D441024"/>
    <w:rsid w:val="0D450893"/>
    <w:rsid w:val="0D464A33"/>
    <w:rsid w:val="0D493F23"/>
    <w:rsid w:val="0D55791C"/>
    <w:rsid w:val="0D644F58"/>
    <w:rsid w:val="0D6E71D1"/>
    <w:rsid w:val="0D743B02"/>
    <w:rsid w:val="0D756FB8"/>
    <w:rsid w:val="0D7D3E0F"/>
    <w:rsid w:val="0D88692C"/>
    <w:rsid w:val="0D8D620F"/>
    <w:rsid w:val="0D914310"/>
    <w:rsid w:val="0D9F1C65"/>
    <w:rsid w:val="0DA01161"/>
    <w:rsid w:val="0DA16476"/>
    <w:rsid w:val="0DA33F9D"/>
    <w:rsid w:val="0DA6583B"/>
    <w:rsid w:val="0DCC7C72"/>
    <w:rsid w:val="0DCD3C64"/>
    <w:rsid w:val="0DD40E63"/>
    <w:rsid w:val="0DD84CEF"/>
    <w:rsid w:val="0DE82542"/>
    <w:rsid w:val="0DE87C01"/>
    <w:rsid w:val="0DEA7B16"/>
    <w:rsid w:val="0DF13CCD"/>
    <w:rsid w:val="0DFC18FF"/>
    <w:rsid w:val="0E056209"/>
    <w:rsid w:val="0E107158"/>
    <w:rsid w:val="0E1123EC"/>
    <w:rsid w:val="0E2A37B2"/>
    <w:rsid w:val="0E317099"/>
    <w:rsid w:val="0E35196F"/>
    <w:rsid w:val="0E3A792E"/>
    <w:rsid w:val="0E4868F2"/>
    <w:rsid w:val="0E611528"/>
    <w:rsid w:val="0E6F36D6"/>
    <w:rsid w:val="0E85404C"/>
    <w:rsid w:val="0E9249D8"/>
    <w:rsid w:val="0E950178"/>
    <w:rsid w:val="0E9B0F0B"/>
    <w:rsid w:val="0EA0228A"/>
    <w:rsid w:val="0EBB3639"/>
    <w:rsid w:val="0EC55FD7"/>
    <w:rsid w:val="0ECB69EA"/>
    <w:rsid w:val="0ED168E7"/>
    <w:rsid w:val="0ED63EFE"/>
    <w:rsid w:val="0EDD61F6"/>
    <w:rsid w:val="0EE04D8D"/>
    <w:rsid w:val="0EE17975"/>
    <w:rsid w:val="0EE95C07"/>
    <w:rsid w:val="0EF60443"/>
    <w:rsid w:val="0EFD73A4"/>
    <w:rsid w:val="0F096DD6"/>
    <w:rsid w:val="0F0C4B1B"/>
    <w:rsid w:val="0F19554D"/>
    <w:rsid w:val="0F1A3753"/>
    <w:rsid w:val="0F20786F"/>
    <w:rsid w:val="0F2426C9"/>
    <w:rsid w:val="0F334EAC"/>
    <w:rsid w:val="0F39623B"/>
    <w:rsid w:val="0F3B1FB3"/>
    <w:rsid w:val="0F5947BA"/>
    <w:rsid w:val="0F5A1CFD"/>
    <w:rsid w:val="0F6B12D9"/>
    <w:rsid w:val="0F7756E1"/>
    <w:rsid w:val="0F7958FE"/>
    <w:rsid w:val="0F7C5C0D"/>
    <w:rsid w:val="0F841580"/>
    <w:rsid w:val="0F844F0D"/>
    <w:rsid w:val="0F8B052B"/>
    <w:rsid w:val="0F934158"/>
    <w:rsid w:val="0F946B48"/>
    <w:rsid w:val="0F987BB1"/>
    <w:rsid w:val="0FA57836"/>
    <w:rsid w:val="0FAE25F2"/>
    <w:rsid w:val="0FB1037C"/>
    <w:rsid w:val="0FB52782"/>
    <w:rsid w:val="0FC47F91"/>
    <w:rsid w:val="0FC92877"/>
    <w:rsid w:val="0FCD09ED"/>
    <w:rsid w:val="0FDC314E"/>
    <w:rsid w:val="0FDE37A4"/>
    <w:rsid w:val="0FE32D76"/>
    <w:rsid w:val="10012383"/>
    <w:rsid w:val="10060813"/>
    <w:rsid w:val="100D6A7B"/>
    <w:rsid w:val="100F3179"/>
    <w:rsid w:val="10192D3D"/>
    <w:rsid w:val="101E5B5C"/>
    <w:rsid w:val="10206AC8"/>
    <w:rsid w:val="10207D16"/>
    <w:rsid w:val="102A70A8"/>
    <w:rsid w:val="102E1B18"/>
    <w:rsid w:val="102E6AA2"/>
    <w:rsid w:val="103247B3"/>
    <w:rsid w:val="10345E0F"/>
    <w:rsid w:val="103669CA"/>
    <w:rsid w:val="103709CC"/>
    <w:rsid w:val="103C5FE2"/>
    <w:rsid w:val="10403A98"/>
    <w:rsid w:val="104159B7"/>
    <w:rsid w:val="1042731E"/>
    <w:rsid w:val="104E7F92"/>
    <w:rsid w:val="10602134"/>
    <w:rsid w:val="1061150C"/>
    <w:rsid w:val="106432C2"/>
    <w:rsid w:val="10727C56"/>
    <w:rsid w:val="10736BDE"/>
    <w:rsid w:val="10744371"/>
    <w:rsid w:val="108D683E"/>
    <w:rsid w:val="108E0E73"/>
    <w:rsid w:val="10AA0A9A"/>
    <w:rsid w:val="10AF655B"/>
    <w:rsid w:val="10B320EA"/>
    <w:rsid w:val="10B35443"/>
    <w:rsid w:val="10B74703"/>
    <w:rsid w:val="10B75021"/>
    <w:rsid w:val="10C84DEB"/>
    <w:rsid w:val="10D34B99"/>
    <w:rsid w:val="10DA4B72"/>
    <w:rsid w:val="10E073EA"/>
    <w:rsid w:val="10E17D24"/>
    <w:rsid w:val="10E62609"/>
    <w:rsid w:val="10E70020"/>
    <w:rsid w:val="10E873B2"/>
    <w:rsid w:val="110A60E1"/>
    <w:rsid w:val="110A705A"/>
    <w:rsid w:val="11113522"/>
    <w:rsid w:val="112D5A17"/>
    <w:rsid w:val="112F6737"/>
    <w:rsid w:val="1130268E"/>
    <w:rsid w:val="11303ECA"/>
    <w:rsid w:val="113B3832"/>
    <w:rsid w:val="11445071"/>
    <w:rsid w:val="114C56CA"/>
    <w:rsid w:val="11537A88"/>
    <w:rsid w:val="117479FE"/>
    <w:rsid w:val="11750C39"/>
    <w:rsid w:val="11752A58"/>
    <w:rsid w:val="117A5014"/>
    <w:rsid w:val="117B4074"/>
    <w:rsid w:val="118834E8"/>
    <w:rsid w:val="118B3031"/>
    <w:rsid w:val="118E286E"/>
    <w:rsid w:val="11902A8A"/>
    <w:rsid w:val="119133DB"/>
    <w:rsid w:val="11942705"/>
    <w:rsid w:val="11995E1B"/>
    <w:rsid w:val="11A4793D"/>
    <w:rsid w:val="11AC5D7A"/>
    <w:rsid w:val="11AD3799"/>
    <w:rsid w:val="11B770D1"/>
    <w:rsid w:val="11B87529"/>
    <w:rsid w:val="11C212CB"/>
    <w:rsid w:val="11DC3895"/>
    <w:rsid w:val="11DE1389"/>
    <w:rsid w:val="11E4127E"/>
    <w:rsid w:val="11E5640E"/>
    <w:rsid w:val="120650CA"/>
    <w:rsid w:val="12220F12"/>
    <w:rsid w:val="12292DDB"/>
    <w:rsid w:val="12347D50"/>
    <w:rsid w:val="12371157"/>
    <w:rsid w:val="12380A2C"/>
    <w:rsid w:val="123A0C48"/>
    <w:rsid w:val="124368EB"/>
    <w:rsid w:val="12485112"/>
    <w:rsid w:val="124D44D7"/>
    <w:rsid w:val="12555A81"/>
    <w:rsid w:val="12611A06"/>
    <w:rsid w:val="12633CFA"/>
    <w:rsid w:val="12651482"/>
    <w:rsid w:val="126A757D"/>
    <w:rsid w:val="127F79EB"/>
    <w:rsid w:val="12802254"/>
    <w:rsid w:val="128529C3"/>
    <w:rsid w:val="12854777"/>
    <w:rsid w:val="129C3F85"/>
    <w:rsid w:val="12A1588E"/>
    <w:rsid w:val="12A204B1"/>
    <w:rsid w:val="12A66205"/>
    <w:rsid w:val="12AD71FE"/>
    <w:rsid w:val="12B26A30"/>
    <w:rsid w:val="12C34799"/>
    <w:rsid w:val="12D36C4C"/>
    <w:rsid w:val="12D73B1B"/>
    <w:rsid w:val="12D926AB"/>
    <w:rsid w:val="12DC70FB"/>
    <w:rsid w:val="12DF0227"/>
    <w:rsid w:val="12E1047B"/>
    <w:rsid w:val="12E3308D"/>
    <w:rsid w:val="12EA1900"/>
    <w:rsid w:val="12F26E2C"/>
    <w:rsid w:val="13010F83"/>
    <w:rsid w:val="130B4B50"/>
    <w:rsid w:val="130B7EEE"/>
    <w:rsid w:val="13170A24"/>
    <w:rsid w:val="13195AB9"/>
    <w:rsid w:val="13225654"/>
    <w:rsid w:val="133E565C"/>
    <w:rsid w:val="133F55C4"/>
    <w:rsid w:val="134578A4"/>
    <w:rsid w:val="13490205"/>
    <w:rsid w:val="134E49AB"/>
    <w:rsid w:val="1356593D"/>
    <w:rsid w:val="13655850"/>
    <w:rsid w:val="136B4523"/>
    <w:rsid w:val="13934B68"/>
    <w:rsid w:val="139E05E7"/>
    <w:rsid w:val="13A02D2C"/>
    <w:rsid w:val="13A540DE"/>
    <w:rsid w:val="13C20EF5"/>
    <w:rsid w:val="13C72262"/>
    <w:rsid w:val="13E57B44"/>
    <w:rsid w:val="13E57E1F"/>
    <w:rsid w:val="13E64BE3"/>
    <w:rsid w:val="13EE708C"/>
    <w:rsid w:val="13FA3627"/>
    <w:rsid w:val="13FB5036"/>
    <w:rsid w:val="140B289C"/>
    <w:rsid w:val="140D4429"/>
    <w:rsid w:val="14105F14"/>
    <w:rsid w:val="143A427F"/>
    <w:rsid w:val="143D0331"/>
    <w:rsid w:val="144514C5"/>
    <w:rsid w:val="144D6FE9"/>
    <w:rsid w:val="1456780D"/>
    <w:rsid w:val="14567BA9"/>
    <w:rsid w:val="14575AE1"/>
    <w:rsid w:val="145C1151"/>
    <w:rsid w:val="145F5E47"/>
    <w:rsid w:val="1464065A"/>
    <w:rsid w:val="1466789B"/>
    <w:rsid w:val="146733DC"/>
    <w:rsid w:val="146F301B"/>
    <w:rsid w:val="146F71F8"/>
    <w:rsid w:val="147418BE"/>
    <w:rsid w:val="1475076A"/>
    <w:rsid w:val="147B727A"/>
    <w:rsid w:val="1486370F"/>
    <w:rsid w:val="14903CC0"/>
    <w:rsid w:val="149711EB"/>
    <w:rsid w:val="14A012B0"/>
    <w:rsid w:val="14A44DFE"/>
    <w:rsid w:val="14A625C4"/>
    <w:rsid w:val="14A93723"/>
    <w:rsid w:val="14B52807"/>
    <w:rsid w:val="14C82402"/>
    <w:rsid w:val="14D312C2"/>
    <w:rsid w:val="15002BB4"/>
    <w:rsid w:val="15035321"/>
    <w:rsid w:val="15083589"/>
    <w:rsid w:val="1509549D"/>
    <w:rsid w:val="150B284B"/>
    <w:rsid w:val="15284D87"/>
    <w:rsid w:val="15302709"/>
    <w:rsid w:val="153822B5"/>
    <w:rsid w:val="153D54C3"/>
    <w:rsid w:val="153D6904"/>
    <w:rsid w:val="15412E70"/>
    <w:rsid w:val="155016E6"/>
    <w:rsid w:val="1559799F"/>
    <w:rsid w:val="1566387D"/>
    <w:rsid w:val="15671D54"/>
    <w:rsid w:val="156D5EF8"/>
    <w:rsid w:val="15752AD1"/>
    <w:rsid w:val="1581564B"/>
    <w:rsid w:val="15915022"/>
    <w:rsid w:val="15AA4A59"/>
    <w:rsid w:val="15B11B97"/>
    <w:rsid w:val="15B37D7D"/>
    <w:rsid w:val="15B56500"/>
    <w:rsid w:val="15B764B8"/>
    <w:rsid w:val="15B92039"/>
    <w:rsid w:val="15BA7066"/>
    <w:rsid w:val="15BD2394"/>
    <w:rsid w:val="15E71910"/>
    <w:rsid w:val="15E975DD"/>
    <w:rsid w:val="15F01F35"/>
    <w:rsid w:val="160649DC"/>
    <w:rsid w:val="161C0D90"/>
    <w:rsid w:val="162A59B4"/>
    <w:rsid w:val="162C1100"/>
    <w:rsid w:val="16361EF4"/>
    <w:rsid w:val="163B172F"/>
    <w:rsid w:val="16411B98"/>
    <w:rsid w:val="16420569"/>
    <w:rsid w:val="16461969"/>
    <w:rsid w:val="164856A2"/>
    <w:rsid w:val="165B38E5"/>
    <w:rsid w:val="165B3ABD"/>
    <w:rsid w:val="165E0DD5"/>
    <w:rsid w:val="16842491"/>
    <w:rsid w:val="16844830"/>
    <w:rsid w:val="16864F47"/>
    <w:rsid w:val="168D1743"/>
    <w:rsid w:val="168F7F0E"/>
    <w:rsid w:val="16997C1D"/>
    <w:rsid w:val="16A9768A"/>
    <w:rsid w:val="16B3375E"/>
    <w:rsid w:val="16BD3B80"/>
    <w:rsid w:val="16C222AF"/>
    <w:rsid w:val="16C66DAA"/>
    <w:rsid w:val="16C674DB"/>
    <w:rsid w:val="16CF7BB0"/>
    <w:rsid w:val="16DA7F08"/>
    <w:rsid w:val="16E00BE0"/>
    <w:rsid w:val="16E86EC4"/>
    <w:rsid w:val="16E920E1"/>
    <w:rsid w:val="17047DC3"/>
    <w:rsid w:val="17160E32"/>
    <w:rsid w:val="172F064F"/>
    <w:rsid w:val="17450DAB"/>
    <w:rsid w:val="17455B45"/>
    <w:rsid w:val="17544559"/>
    <w:rsid w:val="175D4615"/>
    <w:rsid w:val="17891E00"/>
    <w:rsid w:val="17942940"/>
    <w:rsid w:val="17A0779F"/>
    <w:rsid w:val="17A9063A"/>
    <w:rsid w:val="17B578A2"/>
    <w:rsid w:val="17B8037B"/>
    <w:rsid w:val="17C45BC4"/>
    <w:rsid w:val="17C921C1"/>
    <w:rsid w:val="17CC1075"/>
    <w:rsid w:val="17CF09D2"/>
    <w:rsid w:val="17D17958"/>
    <w:rsid w:val="17D31922"/>
    <w:rsid w:val="17E175A0"/>
    <w:rsid w:val="17E9245F"/>
    <w:rsid w:val="17F20888"/>
    <w:rsid w:val="180715CC"/>
    <w:rsid w:val="18096513"/>
    <w:rsid w:val="181319C1"/>
    <w:rsid w:val="181D494B"/>
    <w:rsid w:val="18253800"/>
    <w:rsid w:val="182860E3"/>
    <w:rsid w:val="182F0E90"/>
    <w:rsid w:val="18307747"/>
    <w:rsid w:val="18375672"/>
    <w:rsid w:val="183A3BDC"/>
    <w:rsid w:val="183B3024"/>
    <w:rsid w:val="18553B5A"/>
    <w:rsid w:val="185D16C0"/>
    <w:rsid w:val="18651F9D"/>
    <w:rsid w:val="18670086"/>
    <w:rsid w:val="186D58D3"/>
    <w:rsid w:val="187C0DEA"/>
    <w:rsid w:val="187F2863"/>
    <w:rsid w:val="18863DF4"/>
    <w:rsid w:val="189127B9"/>
    <w:rsid w:val="18996923"/>
    <w:rsid w:val="189D783A"/>
    <w:rsid w:val="189F0D0E"/>
    <w:rsid w:val="18A1718B"/>
    <w:rsid w:val="18A27076"/>
    <w:rsid w:val="18B83863"/>
    <w:rsid w:val="18BA710E"/>
    <w:rsid w:val="18C0505C"/>
    <w:rsid w:val="18C945B4"/>
    <w:rsid w:val="18CC0A2E"/>
    <w:rsid w:val="18D45952"/>
    <w:rsid w:val="18DE58E4"/>
    <w:rsid w:val="18F04261"/>
    <w:rsid w:val="18F94693"/>
    <w:rsid w:val="18FA15E8"/>
    <w:rsid w:val="18FE29CF"/>
    <w:rsid w:val="19036BA9"/>
    <w:rsid w:val="19066B43"/>
    <w:rsid w:val="19081A4B"/>
    <w:rsid w:val="190C774C"/>
    <w:rsid w:val="19143FA0"/>
    <w:rsid w:val="19172452"/>
    <w:rsid w:val="191F46F3"/>
    <w:rsid w:val="19224DC7"/>
    <w:rsid w:val="192D58FE"/>
    <w:rsid w:val="192E4B53"/>
    <w:rsid w:val="192E5772"/>
    <w:rsid w:val="193832BA"/>
    <w:rsid w:val="193C2A53"/>
    <w:rsid w:val="19402210"/>
    <w:rsid w:val="194128BC"/>
    <w:rsid w:val="19635C84"/>
    <w:rsid w:val="196569FB"/>
    <w:rsid w:val="19664364"/>
    <w:rsid w:val="196B7938"/>
    <w:rsid w:val="196E5552"/>
    <w:rsid w:val="197440E1"/>
    <w:rsid w:val="19856C4C"/>
    <w:rsid w:val="198A4708"/>
    <w:rsid w:val="19920D4D"/>
    <w:rsid w:val="19AC04E9"/>
    <w:rsid w:val="19AF2A09"/>
    <w:rsid w:val="19CD7561"/>
    <w:rsid w:val="19CF110E"/>
    <w:rsid w:val="19F077CC"/>
    <w:rsid w:val="19FB6F0E"/>
    <w:rsid w:val="1A045DC3"/>
    <w:rsid w:val="1A143B2C"/>
    <w:rsid w:val="1A253F8B"/>
    <w:rsid w:val="1A294AA6"/>
    <w:rsid w:val="1A2A4C24"/>
    <w:rsid w:val="1A2D2604"/>
    <w:rsid w:val="1A2F0966"/>
    <w:rsid w:val="1A377C2A"/>
    <w:rsid w:val="1A3A7A37"/>
    <w:rsid w:val="1A4152E0"/>
    <w:rsid w:val="1A474E13"/>
    <w:rsid w:val="1A5D54D3"/>
    <w:rsid w:val="1A6708A4"/>
    <w:rsid w:val="1A6E76E0"/>
    <w:rsid w:val="1A7D29A0"/>
    <w:rsid w:val="1A8B7A46"/>
    <w:rsid w:val="1A8C400A"/>
    <w:rsid w:val="1AA03612"/>
    <w:rsid w:val="1AB07CF9"/>
    <w:rsid w:val="1AB1315B"/>
    <w:rsid w:val="1AB62E35"/>
    <w:rsid w:val="1ABA4C3C"/>
    <w:rsid w:val="1ABF0C02"/>
    <w:rsid w:val="1AC162E3"/>
    <w:rsid w:val="1AC41F04"/>
    <w:rsid w:val="1ACA24BC"/>
    <w:rsid w:val="1AD03EF7"/>
    <w:rsid w:val="1AE76091"/>
    <w:rsid w:val="1AE906A6"/>
    <w:rsid w:val="1AFC4695"/>
    <w:rsid w:val="1B032C75"/>
    <w:rsid w:val="1B0D514B"/>
    <w:rsid w:val="1B1937E3"/>
    <w:rsid w:val="1B1B79A7"/>
    <w:rsid w:val="1B2129A5"/>
    <w:rsid w:val="1B221A8F"/>
    <w:rsid w:val="1B281F85"/>
    <w:rsid w:val="1B32070E"/>
    <w:rsid w:val="1B3A4F50"/>
    <w:rsid w:val="1B465546"/>
    <w:rsid w:val="1B48580D"/>
    <w:rsid w:val="1B4A3CA9"/>
    <w:rsid w:val="1B5E32F1"/>
    <w:rsid w:val="1B623DBB"/>
    <w:rsid w:val="1B6362E7"/>
    <w:rsid w:val="1B776A68"/>
    <w:rsid w:val="1B7B659A"/>
    <w:rsid w:val="1B861899"/>
    <w:rsid w:val="1B8A679C"/>
    <w:rsid w:val="1B8B6E6C"/>
    <w:rsid w:val="1B9976C5"/>
    <w:rsid w:val="1B9A41B4"/>
    <w:rsid w:val="1BC96585"/>
    <w:rsid w:val="1BDB07E0"/>
    <w:rsid w:val="1BE14CDE"/>
    <w:rsid w:val="1BE4346A"/>
    <w:rsid w:val="1BE85270"/>
    <w:rsid w:val="1BF51C3E"/>
    <w:rsid w:val="1BF656CA"/>
    <w:rsid w:val="1BFE2CE6"/>
    <w:rsid w:val="1C0227D6"/>
    <w:rsid w:val="1C224C26"/>
    <w:rsid w:val="1C2E3F1B"/>
    <w:rsid w:val="1C341BDE"/>
    <w:rsid w:val="1C41328D"/>
    <w:rsid w:val="1C4325EA"/>
    <w:rsid w:val="1C4C6C89"/>
    <w:rsid w:val="1C512E16"/>
    <w:rsid w:val="1C557859"/>
    <w:rsid w:val="1C5648D0"/>
    <w:rsid w:val="1C574CD2"/>
    <w:rsid w:val="1C5A73AA"/>
    <w:rsid w:val="1C6D7998"/>
    <w:rsid w:val="1C992AF1"/>
    <w:rsid w:val="1C9B22E3"/>
    <w:rsid w:val="1CA613B3"/>
    <w:rsid w:val="1CA70C88"/>
    <w:rsid w:val="1CB533A4"/>
    <w:rsid w:val="1CB60245"/>
    <w:rsid w:val="1CC131AC"/>
    <w:rsid w:val="1CC1549A"/>
    <w:rsid w:val="1CCF0FDF"/>
    <w:rsid w:val="1CED1FE7"/>
    <w:rsid w:val="1CF062C0"/>
    <w:rsid w:val="1CF22578"/>
    <w:rsid w:val="1CF22DB1"/>
    <w:rsid w:val="1CFA7D5E"/>
    <w:rsid w:val="1CFF2872"/>
    <w:rsid w:val="1D040258"/>
    <w:rsid w:val="1D090FD2"/>
    <w:rsid w:val="1D1134EC"/>
    <w:rsid w:val="1D133BC8"/>
    <w:rsid w:val="1D1D384D"/>
    <w:rsid w:val="1D28475A"/>
    <w:rsid w:val="1D2D73DF"/>
    <w:rsid w:val="1D2E3157"/>
    <w:rsid w:val="1D455EC3"/>
    <w:rsid w:val="1D456E66"/>
    <w:rsid w:val="1D4F1661"/>
    <w:rsid w:val="1D4F7BE8"/>
    <w:rsid w:val="1D5E27D2"/>
    <w:rsid w:val="1D716B1D"/>
    <w:rsid w:val="1D7833A7"/>
    <w:rsid w:val="1D8669FF"/>
    <w:rsid w:val="1DA04055"/>
    <w:rsid w:val="1DA15142"/>
    <w:rsid w:val="1DA3564B"/>
    <w:rsid w:val="1DB03DB6"/>
    <w:rsid w:val="1DBA2CB3"/>
    <w:rsid w:val="1DC1221D"/>
    <w:rsid w:val="1DD0634C"/>
    <w:rsid w:val="1DDD4370"/>
    <w:rsid w:val="1DDD64C7"/>
    <w:rsid w:val="1DE26BE9"/>
    <w:rsid w:val="1DEA6C4D"/>
    <w:rsid w:val="1DEE29D7"/>
    <w:rsid w:val="1DF54639"/>
    <w:rsid w:val="1DF93765"/>
    <w:rsid w:val="1E036FCE"/>
    <w:rsid w:val="1E065C13"/>
    <w:rsid w:val="1E154BF9"/>
    <w:rsid w:val="1E1A2348"/>
    <w:rsid w:val="1E1D6DEF"/>
    <w:rsid w:val="1E497E4B"/>
    <w:rsid w:val="1E4E62D8"/>
    <w:rsid w:val="1E4F5A7B"/>
    <w:rsid w:val="1E6734A9"/>
    <w:rsid w:val="1E691C0A"/>
    <w:rsid w:val="1E766C61"/>
    <w:rsid w:val="1E80662D"/>
    <w:rsid w:val="1E8E0CA5"/>
    <w:rsid w:val="1E93764B"/>
    <w:rsid w:val="1E94674E"/>
    <w:rsid w:val="1E99462A"/>
    <w:rsid w:val="1EA03755"/>
    <w:rsid w:val="1EAE27A1"/>
    <w:rsid w:val="1EAE2868"/>
    <w:rsid w:val="1EC048C3"/>
    <w:rsid w:val="1EC9735C"/>
    <w:rsid w:val="1ECA4C3A"/>
    <w:rsid w:val="1ED26278"/>
    <w:rsid w:val="1ED90CD1"/>
    <w:rsid w:val="1ED96B6F"/>
    <w:rsid w:val="1EE31FFD"/>
    <w:rsid w:val="1EE46BA6"/>
    <w:rsid w:val="1EE92728"/>
    <w:rsid w:val="1EF94A6D"/>
    <w:rsid w:val="1F0102AB"/>
    <w:rsid w:val="1F017AEB"/>
    <w:rsid w:val="1F066139"/>
    <w:rsid w:val="1F0D44D4"/>
    <w:rsid w:val="1F1D1FA6"/>
    <w:rsid w:val="1F240D31"/>
    <w:rsid w:val="1F2C23A5"/>
    <w:rsid w:val="1F397888"/>
    <w:rsid w:val="1F3A2287"/>
    <w:rsid w:val="1F444EB4"/>
    <w:rsid w:val="1F5A49CB"/>
    <w:rsid w:val="1F611711"/>
    <w:rsid w:val="1F613BBB"/>
    <w:rsid w:val="1F733E57"/>
    <w:rsid w:val="1F7E0296"/>
    <w:rsid w:val="1F7F63A6"/>
    <w:rsid w:val="1F833C2E"/>
    <w:rsid w:val="1F8651D7"/>
    <w:rsid w:val="1F91219C"/>
    <w:rsid w:val="1FA7646C"/>
    <w:rsid w:val="1FB17C4B"/>
    <w:rsid w:val="1FB26264"/>
    <w:rsid w:val="1FB50509"/>
    <w:rsid w:val="1FB63935"/>
    <w:rsid w:val="1FB75686"/>
    <w:rsid w:val="1FC52E36"/>
    <w:rsid w:val="1FCC04CC"/>
    <w:rsid w:val="1FD455CC"/>
    <w:rsid w:val="1FDC3F0E"/>
    <w:rsid w:val="1FF35315"/>
    <w:rsid w:val="1FFC63A4"/>
    <w:rsid w:val="1FFE2D39"/>
    <w:rsid w:val="200D1749"/>
    <w:rsid w:val="200F202D"/>
    <w:rsid w:val="201B04D3"/>
    <w:rsid w:val="201B3E4C"/>
    <w:rsid w:val="20290D75"/>
    <w:rsid w:val="203B40D3"/>
    <w:rsid w:val="20471238"/>
    <w:rsid w:val="2049014A"/>
    <w:rsid w:val="20621A95"/>
    <w:rsid w:val="206D762C"/>
    <w:rsid w:val="207451CF"/>
    <w:rsid w:val="20763C01"/>
    <w:rsid w:val="20A12463"/>
    <w:rsid w:val="20A35555"/>
    <w:rsid w:val="20A576A3"/>
    <w:rsid w:val="20AE5F95"/>
    <w:rsid w:val="20B83463"/>
    <w:rsid w:val="20DB1848"/>
    <w:rsid w:val="20F836D6"/>
    <w:rsid w:val="20FF1092"/>
    <w:rsid w:val="21134B3E"/>
    <w:rsid w:val="21311468"/>
    <w:rsid w:val="213767C6"/>
    <w:rsid w:val="213803E6"/>
    <w:rsid w:val="213B5E42"/>
    <w:rsid w:val="214F29A9"/>
    <w:rsid w:val="21510699"/>
    <w:rsid w:val="21515666"/>
    <w:rsid w:val="21535882"/>
    <w:rsid w:val="216B3F05"/>
    <w:rsid w:val="217B0CA4"/>
    <w:rsid w:val="21820E17"/>
    <w:rsid w:val="218242A5"/>
    <w:rsid w:val="218D2B42"/>
    <w:rsid w:val="21A02F6A"/>
    <w:rsid w:val="21A63C04"/>
    <w:rsid w:val="21B54974"/>
    <w:rsid w:val="21C60652"/>
    <w:rsid w:val="21CB7049"/>
    <w:rsid w:val="21E5308A"/>
    <w:rsid w:val="21E55BA0"/>
    <w:rsid w:val="21E7129C"/>
    <w:rsid w:val="21EF0988"/>
    <w:rsid w:val="220018D3"/>
    <w:rsid w:val="220B7F0B"/>
    <w:rsid w:val="22196184"/>
    <w:rsid w:val="22344991"/>
    <w:rsid w:val="224007FD"/>
    <w:rsid w:val="225C1870"/>
    <w:rsid w:val="225E635C"/>
    <w:rsid w:val="229421BE"/>
    <w:rsid w:val="229816E8"/>
    <w:rsid w:val="22A26F7A"/>
    <w:rsid w:val="22A30143"/>
    <w:rsid w:val="22A31EF1"/>
    <w:rsid w:val="22AE6C61"/>
    <w:rsid w:val="22B10AB2"/>
    <w:rsid w:val="22C31EC9"/>
    <w:rsid w:val="22D308C1"/>
    <w:rsid w:val="22D64BAD"/>
    <w:rsid w:val="22D749A5"/>
    <w:rsid w:val="22E9024C"/>
    <w:rsid w:val="22EB7249"/>
    <w:rsid w:val="22F2371A"/>
    <w:rsid w:val="22F36CE7"/>
    <w:rsid w:val="22F52486"/>
    <w:rsid w:val="22F5322F"/>
    <w:rsid w:val="22F83344"/>
    <w:rsid w:val="22FD7853"/>
    <w:rsid w:val="23066544"/>
    <w:rsid w:val="231346EA"/>
    <w:rsid w:val="23146ECC"/>
    <w:rsid w:val="231A6133"/>
    <w:rsid w:val="233631B9"/>
    <w:rsid w:val="23403A71"/>
    <w:rsid w:val="2342170A"/>
    <w:rsid w:val="23440F58"/>
    <w:rsid w:val="2347743F"/>
    <w:rsid w:val="234B7834"/>
    <w:rsid w:val="23527A75"/>
    <w:rsid w:val="23564DC7"/>
    <w:rsid w:val="235651B5"/>
    <w:rsid w:val="23574E22"/>
    <w:rsid w:val="23597F78"/>
    <w:rsid w:val="23635DB2"/>
    <w:rsid w:val="2368268D"/>
    <w:rsid w:val="237262EE"/>
    <w:rsid w:val="23762C8C"/>
    <w:rsid w:val="237B1C23"/>
    <w:rsid w:val="238E0DF3"/>
    <w:rsid w:val="23A21379"/>
    <w:rsid w:val="23A61C99"/>
    <w:rsid w:val="23AA6648"/>
    <w:rsid w:val="23AB565B"/>
    <w:rsid w:val="23B10DE0"/>
    <w:rsid w:val="23B532A2"/>
    <w:rsid w:val="23B61FE8"/>
    <w:rsid w:val="23BD0740"/>
    <w:rsid w:val="23BD5235"/>
    <w:rsid w:val="23D5368E"/>
    <w:rsid w:val="23D65030"/>
    <w:rsid w:val="23D758F4"/>
    <w:rsid w:val="23E629DD"/>
    <w:rsid w:val="23EA5297"/>
    <w:rsid w:val="23EF56F1"/>
    <w:rsid w:val="24042DAE"/>
    <w:rsid w:val="240A311F"/>
    <w:rsid w:val="2412611A"/>
    <w:rsid w:val="24155059"/>
    <w:rsid w:val="241A255A"/>
    <w:rsid w:val="241E21DD"/>
    <w:rsid w:val="2424564E"/>
    <w:rsid w:val="242A3024"/>
    <w:rsid w:val="2435307B"/>
    <w:rsid w:val="243C25FD"/>
    <w:rsid w:val="24466541"/>
    <w:rsid w:val="2453116F"/>
    <w:rsid w:val="24582E25"/>
    <w:rsid w:val="24596F3D"/>
    <w:rsid w:val="245B6F27"/>
    <w:rsid w:val="245C2C9F"/>
    <w:rsid w:val="24691C87"/>
    <w:rsid w:val="246E4971"/>
    <w:rsid w:val="247C4419"/>
    <w:rsid w:val="247F624D"/>
    <w:rsid w:val="248D10AB"/>
    <w:rsid w:val="24975A86"/>
    <w:rsid w:val="249B6F37"/>
    <w:rsid w:val="249C309C"/>
    <w:rsid w:val="24A57C78"/>
    <w:rsid w:val="24A805BD"/>
    <w:rsid w:val="24B5313D"/>
    <w:rsid w:val="24BE4EFD"/>
    <w:rsid w:val="24C10BC5"/>
    <w:rsid w:val="24C21BBB"/>
    <w:rsid w:val="24D977A8"/>
    <w:rsid w:val="24DD455B"/>
    <w:rsid w:val="24E5367B"/>
    <w:rsid w:val="24FB450C"/>
    <w:rsid w:val="24FC6EE5"/>
    <w:rsid w:val="250E68A7"/>
    <w:rsid w:val="250F6EEB"/>
    <w:rsid w:val="25105A94"/>
    <w:rsid w:val="252217F3"/>
    <w:rsid w:val="253D113C"/>
    <w:rsid w:val="25416E10"/>
    <w:rsid w:val="25467036"/>
    <w:rsid w:val="25492F42"/>
    <w:rsid w:val="255C3837"/>
    <w:rsid w:val="256002A5"/>
    <w:rsid w:val="25643C6C"/>
    <w:rsid w:val="256B4217"/>
    <w:rsid w:val="257E787A"/>
    <w:rsid w:val="258E6D46"/>
    <w:rsid w:val="25910D22"/>
    <w:rsid w:val="2597065A"/>
    <w:rsid w:val="25AD2749"/>
    <w:rsid w:val="25B23C5D"/>
    <w:rsid w:val="25B62BF1"/>
    <w:rsid w:val="25C23BBA"/>
    <w:rsid w:val="25CB7274"/>
    <w:rsid w:val="25CD5933"/>
    <w:rsid w:val="25DB7988"/>
    <w:rsid w:val="25DE3FA1"/>
    <w:rsid w:val="25E851EA"/>
    <w:rsid w:val="260C591F"/>
    <w:rsid w:val="26323CB8"/>
    <w:rsid w:val="26435DB4"/>
    <w:rsid w:val="2647309A"/>
    <w:rsid w:val="26553337"/>
    <w:rsid w:val="26615315"/>
    <w:rsid w:val="2661634B"/>
    <w:rsid w:val="2662299C"/>
    <w:rsid w:val="266B6161"/>
    <w:rsid w:val="267859C4"/>
    <w:rsid w:val="26895B15"/>
    <w:rsid w:val="26922151"/>
    <w:rsid w:val="269E6B26"/>
    <w:rsid w:val="26A16452"/>
    <w:rsid w:val="26AE2FAD"/>
    <w:rsid w:val="26B64FCD"/>
    <w:rsid w:val="26E541E7"/>
    <w:rsid w:val="26E624B9"/>
    <w:rsid w:val="270F77E4"/>
    <w:rsid w:val="27135897"/>
    <w:rsid w:val="27160E77"/>
    <w:rsid w:val="271763E5"/>
    <w:rsid w:val="27182EAE"/>
    <w:rsid w:val="271C670A"/>
    <w:rsid w:val="271D1792"/>
    <w:rsid w:val="27226A3D"/>
    <w:rsid w:val="2728071A"/>
    <w:rsid w:val="27302C1C"/>
    <w:rsid w:val="27345B98"/>
    <w:rsid w:val="27373D28"/>
    <w:rsid w:val="274307FB"/>
    <w:rsid w:val="274842D1"/>
    <w:rsid w:val="27516C6F"/>
    <w:rsid w:val="27562706"/>
    <w:rsid w:val="27627383"/>
    <w:rsid w:val="277E6196"/>
    <w:rsid w:val="2780168E"/>
    <w:rsid w:val="278F67EF"/>
    <w:rsid w:val="27A26508"/>
    <w:rsid w:val="27A71EA8"/>
    <w:rsid w:val="27B4187E"/>
    <w:rsid w:val="27D5405B"/>
    <w:rsid w:val="27E61368"/>
    <w:rsid w:val="28072F22"/>
    <w:rsid w:val="280A1EA5"/>
    <w:rsid w:val="280A454B"/>
    <w:rsid w:val="280E0EB1"/>
    <w:rsid w:val="282012C0"/>
    <w:rsid w:val="282469E9"/>
    <w:rsid w:val="2833094C"/>
    <w:rsid w:val="283B2678"/>
    <w:rsid w:val="283D06F2"/>
    <w:rsid w:val="284101E2"/>
    <w:rsid w:val="2845221C"/>
    <w:rsid w:val="28552ABF"/>
    <w:rsid w:val="2859377E"/>
    <w:rsid w:val="28741198"/>
    <w:rsid w:val="28754330"/>
    <w:rsid w:val="28893937"/>
    <w:rsid w:val="28974012"/>
    <w:rsid w:val="289C1416"/>
    <w:rsid w:val="28A013AD"/>
    <w:rsid w:val="28BB1F86"/>
    <w:rsid w:val="28BC1F5F"/>
    <w:rsid w:val="28C4604E"/>
    <w:rsid w:val="28C52523"/>
    <w:rsid w:val="28CB21A2"/>
    <w:rsid w:val="28D82E3E"/>
    <w:rsid w:val="28D93EE5"/>
    <w:rsid w:val="28E622DE"/>
    <w:rsid w:val="28ED7324"/>
    <w:rsid w:val="28F74D45"/>
    <w:rsid w:val="28FC1880"/>
    <w:rsid w:val="28FD65C6"/>
    <w:rsid w:val="29015BC3"/>
    <w:rsid w:val="291948CF"/>
    <w:rsid w:val="2920604A"/>
    <w:rsid w:val="29345F99"/>
    <w:rsid w:val="29347D47"/>
    <w:rsid w:val="293B5548"/>
    <w:rsid w:val="29417EE1"/>
    <w:rsid w:val="295E299A"/>
    <w:rsid w:val="29675FF7"/>
    <w:rsid w:val="296857DF"/>
    <w:rsid w:val="296C1CDA"/>
    <w:rsid w:val="29745B98"/>
    <w:rsid w:val="297B0E08"/>
    <w:rsid w:val="297C7B0D"/>
    <w:rsid w:val="297E31A8"/>
    <w:rsid w:val="2981261D"/>
    <w:rsid w:val="298505A2"/>
    <w:rsid w:val="298E747C"/>
    <w:rsid w:val="298E79F7"/>
    <w:rsid w:val="299343CE"/>
    <w:rsid w:val="29AA6F0A"/>
    <w:rsid w:val="29AE50CA"/>
    <w:rsid w:val="29D46006"/>
    <w:rsid w:val="29D532D8"/>
    <w:rsid w:val="29D62BAC"/>
    <w:rsid w:val="29DA62A3"/>
    <w:rsid w:val="29E603C2"/>
    <w:rsid w:val="29EB78B4"/>
    <w:rsid w:val="2A0271E9"/>
    <w:rsid w:val="2A0B4F4C"/>
    <w:rsid w:val="2A0E2346"/>
    <w:rsid w:val="2A105C27"/>
    <w:rsid w:val="2A177DCB"/>
    <w:rsid w:val="2A2D77B2"/>
    <w:rsid w:val="2A2E723B"/>
    <w:rsid w:val="2A4A2FE8"/>
    <w:rsid w:val="2A4B5348"/>
    <w:rsid w:val="2A4E25D2"/>
    <w:rsid w:val="2A527FEC"/>
    <w:rsid w:val="2A587BC9"/>
    <w:rsid w:val="2A7228D5"/>
    <w:rsid w:val="2A741313"/>
    <w:rsid w:val="2A7F1496"/>
    <w:rsid w:val="2A8A65D9"/>
    <w:rsid w:val="2A8F6FEE"/>
    <w:rsid w:val="2A9A007E"/>
    <w:rsid w:val="2AA15E6C"/>
    <w:rsid w:val="2AA57411"/>
    <w:rsid w:val="2AC14E24"/>
    <w:rsid w:val="2ACA7121"/>
    <w:rsid w:val="2ACD3983"/>
    <w:rsid w:val="2ACD787A"/>
    <w:rsid w:val="2ACE07E3"/>
    <w:rsid w:val="2AD63B63"/>
    <w:rsid w:val="2AD96DF8"/>
    <w:rsid w:val="2AE656EB"/>
    <w:rsid w:val="2B0858C1"/>
    <w:rsid w:val="2B147D35"/>
    <w:rsid w:val="2B384A63"/>
    <w:rsid w:val="2B475A44"/>
    <w:rsid w:val="2B485E04"/>
    <w:rsid w:val="2B4D20BD"/>
    <w:rsid w:val="2B54022C"/>
    <w:rsid w:val="2B590EBA"/>
    <w:rsid w:val="2B5A36E3"/>
    <w:rsid w:val="2B65243A"/>
    <w:rsid w:val="2B69017C"/>
    <w:rsid w:val="2B715282"/>
    <w:rsid w:val="2B795DEE"/>
    <w:rsid w:val="2B8D2638"/>
    <w:rsid w:val="2B9569B0"/>
    <w:rsid w:val="2BA876B7"/>
    <w:rsid w:val="2BAC3692"/>
    <w:rsid w:val="2BAE4D45"/>
    <w:rsid w:val="2BB53AA1"/>
    <w:rsid w:val="2BCA03B4"/>
    <w:rsid w:val="2BCD76F4"/>
    <w:rsid w:val="2BD11E41"/>
    <w:rsid w:val="2BD870AF"/>
    <w:rsid w:val="2BE055D1"/>
    <w:rsid w:val="2BE315B0"/>
    <w:rsid w:val="2BE96D7A"/>
    <w:rsid w:val="2BF643B6"/>
    <w:rsid w:val="2C043A01"/>
    <w:rsid w:val="2C0B557C"/>
    <w:rsid w:val="2C0D03AC"/>
    <w:rsid w:val="2C115762"/>
    <w:rsid w:val="2C172E9C"/>
    <w:rsid w:val="2C220978"/>
    <w:rsid w:val="2C2A2654"/>
    <w:rsid w:val="2C2B5AF6"/>
    <w:rsid w:val="2C2F2B49"/>
    <w:rsid w:val="2C3167C0"/>
    <w:rsid w:val="2C317228"/>
    <w:rsid w:val="2C427A7F"/>
    <w:rsid w:val="2C46226B"/>
    <w:rsid w:val="2C6646BB"/>
    <w:rsid w:val="2C7C1951"/>
    <w:rsid w:val="2C7F577D"/>
    <w:rsid w:val="2C81624D"/>
    <w:rsid w:val="2C8D0611"/>
    <w:rsid w:val="2CA0329E"/>
    <w:rsid w:val="2CA25CAE"/>
    <w:rsid w:val="2CA6175D"/>
    <w:rsid w:val="2CAB0320"/>
    <w:rsid w:val="2CB14E40"/>
    <w:rsid w:val="2CBD55E3"/>
    <w:rsid w:val="2CD317B6"/>
    <w:rsid w:val="2CEC1CCA"/>
    <w:rsid w:val="2CFE48F4"/>
    <w:rsid w:val="2D0A1B8D"/>
    <w:rsid w:val="2D0D2D89"/>
    <w:rsid w:val="2D2F5AA2"/>
    <w:rsid w:val="2D312AA8"/>
    <w:rsid w:val="2D4C07A4"/>
    <w:rsid w:val="2D532683"/>
    <w:rsid w:val="2D676F72"/>
    <w:rsid w:val="2D741382"/>
    <w:rsid w:val="2D787C68"/>
    <w:rsid w:val="2D797517"/>
    <w:rsid w:val="2D7C6E5F"/>
    <w:rsid w:val="2D837289"/>
    <w:rsid w:val="2D8B74D3"/>
    <w:rsid w:val="2D990DB2"/>
    <w:rsid w:val="2D9C7FFE"/>
    <w:rsid w:val="2DA76930"/>
    <w:rsid w:val="2DAA11E7"/>
    <w:rsid w:val="2DB0393B"/>
    <w:rsid w:val="2DB23579"/>
    <w:rsid w:val="2DBE3D09"/>
    <w:rsid w:val="2DC17BD8"/>
    <w:rsid w:val="2DC25DCC"/>
    <w:rsid w:val="2DD9710F"/>
    <w:rsid w:val="2DE437DA"/>
    <w:rsid w:val="2DF05973"/>
    <w:rsid w:val="2DF45CF7"/>
    <w:rsid w:val="2DF53F49"/>
    <w:rsid w:val="2DFD104F"/>
    <w:rsid w:val="2E012F21"/>
    <w:rsid w:val="2E3C328E"/>
    <w:rsid w:val="2E3D6D1A"/>
    <w:rsid w:val="2E43666A"/>
    <w:rsid w:val="2E463F1D"/>
    <w:rsid w:val="2E4C00D2"/>
    <w:rsid w:val="2E4C78E1"/>
    <w:rsid w:val="2E560F6B"/>
    <w:rsid w:val="2E5A2E46"/>
    <w:rsid w:val="2E5E399D"/>
    <w:rsid w:val="2E612B81"/>
    <w:rsid w:val="2E701728"/>
    <w:rsid w:val="2E7035CF"/>
    <w:rsid w:val="2E782DED"/>
    <w:rsid w:val="2E7A22FD"/>
    <w:rsid w:val="2E861E29"/>
    <w:rsid w:val="2E8928E3"/>
    <w:rsid w:val="2E906C47"/>
    <w:rsid w:val="2E9219FE"/>
    <w:rsid w:val="2EA15E7F"/>
    <w:rsid w:val="2EB62EB9"/>
    <w:rsid w:val="2EBA0CEE"/>
    <w:rsid w:val="2EBD16D2"/>
    <w:rsid w:val="2EC03AEE"/>
    <w:rsid w:val="2EC27BA3"/>
    <w:rsid w:val="2ED17C52"/>
    <w:rsid w:val="2ED841FE"/>
    <w:rsid w:val="2EEB0A78"/>
    <w:rsid w:val="2EEB7FAF"/>
    <w:rsid w:val="2F0809EF"/>
    <w:rsid w:val="2F123765"/>
    <w:rsid w:val="2F166361"/>
    <w:rsid w:val="2F186193"/>
    <w:rsid w:val="2F1E127D"/>
    <w:rsid w:val="2F292AD6"/>
    <w:rsid w:val="2F3B0B88"/>
    <w:rsid w:val="2F5114E8"/>
    <w:rsid w:val="2F5B428D"/>
    <w:rsid w:val="2F6649D2"/>
    <w:rsid w:val="2F687CD6"/>
    <w:rsid w:val="2F6D3FB3"/>
    <w:rsid w:val="2F6D6EA8"/>
    <w:rsid w:val="2F745341"/>
    <w:rsid w:val="2F866E22"/>
    <w:rsid w:val="2F8C36A4"/>
    <w:rsid w:val="2F8F3117"/>
    <w:rsid w:val="2F8F5CD7"/>
    <w:rsid w:val="2F9E5F1A"/>
    <w:rsid w:val="2FA37425"/>
    <w:rsid w:val="2FBA1CBB"/>
    <w:rsid w:val="2FBE0B13"/>
    <w:rsid w:val="2FC35B7C"/>
    <w:rsid w:val="2FE42BDF"/>
    <w:rsid w:val="2FE6542D"/>
    <w:rsid w:val="2FF0569B"/>
    <w:rsid w:val="2FFE1DA7"/>
    <w:rsid w:val="2FFE3246"/>
    <w:rsid w:val="30205738"/>
    <w:rsid w:val="302C1778"/>
    <w:rsid w:val="3034687E"/>
    <w:rsid w:val="303D5733"/>
    <w:rsid w:val="305331A8"/>
    <w:rsid w:val="305B205D"/>
    <w:rsid w:val="30637597"/>
    <w:rsid w:val="30662EDC"/>
    <w:rsid w:val="30683E50"/>
    <w:rsid w:val="306F63F7"/>
    <w:rsid w:val="3078676B"/>
    <w:rsid w:val="30903846"/>
    <w:rsid w:val="30935F12"/>
    <w:rsid w:val="309C34C5"/>
    <w:rsid w:val="309F019C"/>
    <w:rsid w:val="30A56A43"/>
    <w:rsid w:val="30A942DE"/>
    <w:rsid w:val="30C220DC"/>
    <w:rsid w:val="30D228C7"/>
    <w:rsid w:val="30D50061"/>
    <w:rsid w:val="30D629EF"/>
    <w:rsid w:val="30D81900"/>
    <w:rsid w:val="30DB4216"/>
    <w:rsid w:val="30F91861"/>
    <w:rsid w:val="30FA7AC8"/>
    <w:rsid w:val="30FF48C3"/>
    <w:rsid w:val="31036D78"/>
    <w:rsid w:val="310B50C9"/>
    <w:rsid w:val="31112DB6"/>
    <w:rsid w:val="3115045E"/>
    <w:rsid w:val="3115220C"/>
    <w:rsid w:val="31155BC2"/>
    <w:rsid w:val="311E78A1"/>
    <w:rsid w:val="312406A1"/>
    <w:rsid w:val="31263AD6"/>
    <w:rsid w:val="312A4649"/>
    <w:rsid w:val="312B3ECD"/>
    <w:rsid w:val="312E1520"/>
    <w:rsid w:val="313004FE"/>
    <w:rsid w:val="31342FDA"/>
    <w:rsid w:val="31375793"/>
    <w:rsid w:val="31400B88"/>
    <w:rsid w:val="31501496"/>
    <w:rsid w:val="315F58B2"/>
    <w:rsid w:val="31697918"/>
    <w:rsid w:val="316B2774"/>
    <w:rsid w:val="316F4012"/>
    <w:rsid w:val="31733465"/>
    <w:rsid w:val="31790544"/>
    <w:rsid w:val="31824BF3"/>
    <w:rsid w:val="31833929"/>
    <w:rsid w:val="31926D8A"/>
    <w:rsid w:val="31927D00"/>
    <w:rsid w:val="3196159F"/>
    <w:rsid w:val="31B551CF"/>
    <w:rsid w:val="31B80048"/>
    <w:rsid w:val="31C205E6"/>
    <w:rsid w:val="31C40A54"/>
    <w:rsid w:val="31C95FF1"/>
    <w:rsid w:val="31CC7C96"/>
    <w:rsid w:val="31D5016F"/>
    <w:rsid w:val="31DB3455"/>
    <w:rsid w:val="31DE2F46"/>
    <w:rsid w:val="31E6099A"/>
    <w:rsid w:val="31EA2E41"/>
    <w:rsid w:val="31EC406F"/>
    <w:rsid w:val="320209E2"/>
    <w:rsid w:val="3206536B"/>
    <w:rsid w:val="32262FF7"/>
    <w:rsid w:val="32292413"/>
    <w:rsid w:val="324C4353"/>
    <w:rsid w:val="3253341E"/>
    <w:rsid w:val="3257078F"/>
    <w:rsid w:val="326710D4"/>
    <w:rsid w:val="32BB10E4"/>
    <w:rsid w:val="32C5454E"/>
    <w:rsid w:val="32D87026"/>
    <w:rsid w:val="32DB26AD"/>
    <w:rsid w:val="32DC6DD3"/>
    <w:rsid w:val="32E14AC7"/>
    <w:rsid w:val="32E21699"/>
    <w:rsid w:val="32F10A57"/>
    <w:rsid w:val="330A1194"/>
    <w:rsid w:val="332158DC"/>
    <w:rsid w:val="332E3179"/>
    <w:rsid w:val="33405BB7"/>
    <w:rsid w:val="334B7EA0"/>
    <w:rsid w:val="334C46CB"/>
    <w:rsid w:val="33557C28"/>
    <w:rsid w:val="33600D0F"/>
    <w:rsid w:val="33743B62"/>
    <w:rsid w:val="337A3D09"/>
    <w:rsid w:val="337A40D1"/>
    <w:rsid w:val="337C0A0F"/>
    <w:rsid w:val="337E0E26"/>
    <w:rsid w:val="338874CA"/>
    <w:rsid w:val="33A84955"/>
    <w:rsid w:val="33AE7A57"/>
    <w:rsid w:val="33B418B0"/>
    <w:rsid w:val="33BE5824"/>
    <w:rsid w:val="33C81483"/>
    <w:rsid w:val="33C85C5B"/>
    <w:rsid w:val="33D12FD2"/>
    <w:rsid w:val="33D941D3"/>
    <w:rsid w:val="33E51F84"/>
    <w:rsid w:val="33F54102"/>
    <w:rsid w:val="33FB393B"/>
    <w:rsid w:val="33FC5673"/>
    <w:rsid w:val="340279D7"/>
    <w:rsid w:val="340A74A4"/>
    <w:rsid w:val="342310E4"/>
    <w:rsid w:val="3428494C"/>
    <w:rsid w:val="34390240"/>
    <w:rsid w:val="34394969"/>
    <w:rsid w:val="343F416B"/>
    <w:rsid w:val="344204A3"/>
    <w:rsid w:val="344603D3"/>
    <w:rsid w:val="34496EC7"/>
    <w:rsid w:val="344D7F0F"/>
    <w:rsid w:val="346840B9"/>
    <w:rsid w:val="346F6AF0"/>
    <w:rsid w:val="346F79A4"/>
    <w:rsid w:val="34704E00"/>
    <w:rsid w:val="3474049E"/>
    <w:rsid w:val="3474193F"/>
    <w:rsid w:val="34774060"/>
    <w:rsid w:val="34785297"/>
    <w:rsid w:val="34802092"/>
    <w:rsid w:val="34A121BD"/>
    <w:rsid w:val="34A6153F"/>
    <w:rsid w:val="34A75871"/>
    <w:rsid w:val="34CD5132"/>
    <w:rsid w:val="34CF6669"/>
    <w:rsid w:val="34D523DE"/>
    <w:rsid w:val="34F0717A"/>
    <w:rsid w:val="34FA2A04"/>
    <w:rsid w:val="351C3430"/>
    <w:rsid w:val="35235778"/>
    <w:rsid w:val="35284C04"/>
    <w:rsid w:val="35366BF5"/>
    <w:rsid w:val="3539406E"/>
    <w:rsid w:val="353F3CFB"/>
    <w:rsid w:val="3550415A"/>
    <w:rsid w:val="355C665B"/>
    <w:rsid w:val="355E3D22"/>
    <w:rsid w:val="356419B4"/>
    <w:rsid w:val="35680EA8"/>
    <w:rsid w:val="356B6D96"/>
    <w:rsid w:val="35706240"/>
    <w:rsid w:val="357877A7"/>
    <w:rsid w:val="357F234A"/>
    <w:rsid w:val="3585599D"/>
    <w:rsid w:val="359F3A49"/>
    <w:rsid w:val="35A160DC"/>
    <w:rsid w:val="35A71146"/>
    <w:rsid w:val="35A94C06"/>
    <w:rsid w:val="35B04BF9"/>
    <w:rsid w:val="35B327B7"/>
    <w:rsid w:val="35BE67F0"/>
    <w:rsid w:val="35BF4036"/>
    <w:rsid w:val="35C94AEF"/>
    <w:rsid w:val="35CF29CE"/>
    <w:rsid w:val="35D4592A"/>
    <w:rsid w:val="35DF6849"/>
    <w:rsid w:val="35E65FA8"/>
    <w:rsid w:val="35E756BB"/>
    <w:rsid w:val="35F96946"/>
    <w:rsid w:val="36015B90"/>
    <w:rsid w:val="360311CD"/>
    <w:rsid w:val="360F79C2"/>
    <w:rsid w:val="361D1BDF"/>
    <w:rsid w:val="361D2B8E"/>
    <w:rsid w:val="36341673"/>
    <w:rsid w:val="363671C6"/>
    <w:rsid w:val="363A3CFD"/>
    <w:rsid w:val="363C16DB"/>
    <w:rsid w:val="364B4321"/>
    <w:rsid w:val="364F5A2A"/>
    <w:rsid w:val="36525097"/>
    <w:rsid w:val="365C1F55"/>
    <w:rsid w:val="365D6B2F"/>
    <w:rsid w:val="366E2AEA"/>
    <w:rsid w:val="367E0853"/>
    <w:rsid w:val="368A346E"/>
    <w:rsid w:val="368B6F9F"/>
    <w:rsid w:val="368C11C2"/>
    <w:rsid w:val="369B7C56"/>
    <w:rsid w:val="36AD0EA9"/>
    <w:rsid w:val="36BB3856"/>
    <w:rsid w:val="36C06A93"/>
    <w:rsid w:val="36C6478F"/>
    <w:rsid w:val="36CC252F"/>
    <w:rsid w:val="36D66CC6"/>
    <w:rsid w:val="36DA62AB"/>
    <w:rsid w:val="36F414F3"/>
    <w:rsid w:val="370902B7"/>
    <w:rsid w:val="37090449"/>
    <w:rsid w:val="370C0184"/>
    <w:rsid w:val="37143AAA"/>
    <w:rsid w:val="37172642"/>
    <w:rsid w:val="371D035E"/>
    <w:rsid w:val="371E292D"/>
    <w:rsid w:val="371F1DE0"/>
    <w:rsid w:val="372F639B"/>
    <w:rsid w:val="37377380"/>
    <w:rsid w:val="374809F5"/>
    <w:rsid w:val="37483B29"/>
    <w:rsid w:val="37516362"/>
    <w:rsid w:val="37570D7E"/>
    <w:rsid w:val="375D2B5F"/>
    <w:rsid w:val="37643EED"/>
    <w:rsid w:val="37656127"/>
    <w:rsid w:val="37676D1F"/>
    <w:rsid w:val="376C3559"/>
    <w:rsid w:val="377452B8"/>
    <w:rsid w:val="378004A4"/>
    <w:rsid w:val="37894E57"/>
    <w:rsid w:val="37971BCD"/>
    <w:rsid w:val="37984652"/>
    <w:rsid w:val="379F4F25"/>
    <w:rsid w:val="37D1752B"/>
    <w:rsid w:val="37D20A26"/>
    <w:rsid w:val="37D43348"/>
    <w:rsid w:val="37DB6352"/>
    <w:rsid w:val="37DC7F27"/>
    <w:rsid w:val="37E33B7D"/>
    <w:rsid w:val="37E50A71"/>
    <w:rsid w:val="37E720D3"/>
    <w:rsid w:val="37ED6D06"/>
    <w:rsid w:val="37FA1BF4"/>
    <w:rsid w:val="37FE3FAF"/>
    <w:rsid w:val="3807701A"/>
    <w:rsid w:val="3816174E"/>
    <w:rsid w:val="38303089"/>
    <w:rsid w:val="383A1946"/>
    <w:rsid w:val="384B0C2D"/>
    <w:rsid w:val="385C2E16"/>
    <w:rsid w:val="385E543D"/>
    <w:rsid w:val="38600D88"/>
    <w:rsid w:val="38602906"/>
    <w:rsid w:val="38662C6D"/>
    <w:rsid w:val="386D0B7F"/>
    <w:rsid w:val="38743FB4"/>
    <w:rsid w:val="3875587C"/>
    <w:rsid w:val="38767A34"/>
    <w:rsid w:val="38903694"/>
    <w:rsid w:val="38947930"/>
    <w:rsid w:val="389935B7"/>
    <w:rsid w:val="38A36ACC"/>
    <w:rsid w:val="38BB0554"/>
    <w:rsid w:val="38BE2077"/>
    <w:rsid w:val="38C509BB"/>
    <w:rsid w:val="38CE0621"/>
    <w:rsid w:val="38D84D95"/>
    <w:rsid w:val="38DD2BC2"/>
    <w:rsid w:val="38E066C5"/>
    <w:rsid w:val="38F31481"/>
    <w:rsid w:val="3900305D"/>
    <w:rsid w:val="390457E9"/>
    <w:rsid w:val="390901EF"/>
    <w:rsid w:val="390D5ED7"/>
    <w:rsid w:val="39160A1A"/>
    <w:rsid w:val="391F67F6"/>
    <w:rsid w:val="3942200C"/>
    <w:rsid w:val="394F2BC3"/>
    <w:rsid w:val="395B4F36"/>
    <w:rsid w:val="3962620A"/>
    <w:rsid w:val="39657AA9"/>
    <w:rsid w:val="39677B25"/>
    <w:rsid w:val="39697599"/>
    <w:rsid w:val="39723D78"/>
    <w:rsid w:val="397C3770"/>
    <w:rsid w:val="39857312"/>
    <w:rsid w:val="398C7053"/>
    <w:rsid w:val="398D2FCC"/>
    <w:rsid w:val="398D772B"/>
    <w:rsid w:val="39906662"/>
    <w:rsid w:val="39906DD7"/>
    <w:rsid w:val="3992579C"/>
    <w:rsid w:val="399318EE"/>
    <w:rsid w:val="399B3D65"/>
    <w:rsid w:val="39A34C72"/>
    <w:rsid w:val="39A761E3"/>
    <w:rsid w:val="39AE76A2"/>
    <w:rsid w:val="39B079F9"/>
    <w:rsid w:val="39B842D1"/>
    <w:rsid w:val="39C509DD"/>
    <w:rsid w:val="39CB419C"/>
    <w:rsid w:val="39D07261"/>
    <w:rsid w:val="39D76BF8"/>
    <w:rsid w:val="39E14289"/>
    <w:rsid w:val="39E210F9"/>
    <w:rsid w:val="39E44E71"/>
    <w:rsid w:val="39E6373E"/>
    <w:rsid w:val="39EE7A9E"/>
    <w:rsid w:val="39F227A8"/>
    <w:rsid w:val="39F44362"/>
    <w:rsid w:val="3A014FA2"/>
    <w:rsid w:val="3A0345E0"/>
    <w:rsid w:val="3A095740"/>
    <w:rsid w:val="3A095B6F"/>
    <w:rsid w:val="3A0F19F4"/>
    <w:rsid w:val="3A125E82"/>
    <w:rsid w:val="3A142DA1"/>
    <w:rsid w:val="3A187EEC"/>
    <w:rsid w:val="3A195C3F"/>
    <w:rsid w:val="3A2A65E3"/>
    <w:rsid w:val="3A2C24A0"/>
    <w:rsid w:val="3A334FB4"/>
    <w:rsid w:val="3A346C56"/>
    <w:rsid w:val="3A430829"/>
    <w:rsid w:val="3A4E487E"/>
    <w:rsid w:val="3A56787C"/>
    <w:rsid w:val="3A6D58D7"/>
    <w:rsid w:val="3A6F11C9"/>
    <w:rsid w:val="3A7628EC"/>
    <w:rsid w:val="3A7A77C8"/>
    <w:rsid w:val="3A7C29F2"/>
    <w:rsid w:val="3A850402"/>
    <w:rsid w:val="3A87183B"/>
    <w:rsid w:val="3A880E29"/>
    <w:rsid w:val="3A8900E6"/>
    <w:rsid w:val="3A92538A"/>
    <w:rsid w:val="3A9C267B"/>
    <w:rsid w:val="3A9C399E"/>
    <w:rsid w:val="3AAE6EAB"/>
    <w:rsid w:val="3AB27C7D"/>
    <w:rsid w:val="3AB506B4"/>
    <w:rsid w:val="3AB80AA7"/>
    <w:rsid w:val="3AD17712"/>
    <w:rsid w:val="3AD705D3"/>
    <w:rsid w:val="3AD969A0"/>
    <w:rsid w:val="3AE3139F"/>
    <w:rsid w:val="3AE970C8"/>
    <w:rsid w:val="3AEA4709"/>
    <w:rsid w:val="3AF17E99"/>
    <w:rsid w:val="3AF91CCD"/>
    <w:rsid w:val="3B0120B1"/>
    <w:rsid w:val="3B043A1D"/>
    <w:rsid w:val="3B0E529E"/>
    <w:rsid w:val="3B134072"/>
    <w:rsid w:val="3B2112AD"/>
    <w:rsid w:val="3B274463"/>
    <w:rsid w:val="3B3F2CA7"/>
    <w:rsid w:val="3B443E1A"/>
    <w:rsid w:val="3B523DF4"/>
    <w:rsid w:val="3B5775E3"/>
    <w:rsid w:val="3B7A783B"/>
    <w:rsid w:val="3B86622C"/>
    <w:rsid w:val="3B8A4A97"/>
    <w:rsid w:val="3B947435"/>
    <w:rsid w:val="3B9C248B"/>
    <w:rsid w:val="3BA32FC2"/>
    <w:rsid w:val="3BA62C5E"/>
    <w:rsid w:val="3BAA5C47"/>
    <w:rsid w:val="3BAE054D"/>
    <w:rsid w:val="3BC24168"/>
    <w:rsid w:val="3BC35686"/>
    <w:rsid w:val="3BC43686"/>
    <w:rsid w:val="3BDC3E4C"/>
    <w:rsid w:val="3BEE3F34"/>
    <w:rsid w:val="3BFA4E20"/>
    <w:rsid w:val="3BFB4A10"/>
    <w:rsid w:val="3C1A4E8D"/>
    <w:rsid w:val="3C203A19"/>
    <w:rsid w:val="3C2070F1"/>
    <w:rsid w:val="3C2E2E6A"/>
    <w:rsid w:val="3C3012FC"/>
    <w:rsid w:val="3C3519B4"/>
    <w:rsid w:val="3C3A2962"/>
    <w:rsid w:val="3C3C5492"/>
    <w:rsid w:val="3C410359"/>
    <w:rsid w:val="3C4B65E1"/>
    <w:rsid w:val="3C4C418E"/>
    <w:rsid w:val="3C4C5111"/>
    <w:rsid w:val="3C6809BE"/>
    <w:rsid w:val="3C683C76"/>
    <w:rsid w:val="3C6B5A13"/>
    <w:rsid w:val="3C6F2DB7"/>
    <w:rsid w:val="3C7241A3"/>
    <w:rsid w:val="3C736D56"/>
    <w:rsid w:val="3C784DBC"/>
    <w:rsid w:val="3C7923FD"/>
    <w:rsid w:val="3C7A69DA"/>
    <w:rsid w:val="3C7E21FC"/>
    <w:rsid w:val="3C81109D"/>
    <w:rsid w:val="3C8369DF"/>
    <w:rsid w:val="3C8619C4"/>
    <w:rsid w:val="3C897107"/>
    <w:rsid w:val="3C8B6976"/>
    <w:rsid w:val="3C940DD1"/>
    <w:rsid w:val="3C985470"/>
    <w:rsid w:val="3C9A5B15"/>
    <w:rsid w:val="3CA130A1"/>
    <w:rsid w:val="3CAF5049"/>
    <w:rsid w:val="3CB42249"/>
    <w:rsid w:val="3CBA2524"/>
    <w:rsid w:val="3CC82230"/>
    <w:rsid w:val="3CC86CCC"/>
    <w:rsid w:val="3CD2706C"/>
    <w:rsid w:val="3CD53E01"/>
    <w:rsid w:val="3CDB59F7"/>
    <w:rsid w:val="3CE26498"/>
    <w:rsid w:val="3CE369A7"/>
    <w:rsid w:val="3CE545E6"/>
    <w:rsid w:val="3CF121A0"/>
    <w:rsid w:val="3CF950D8"/>
    <w:rsid w:val="3CFC0724"/>
    <w:rsid w:val="3D1A37B0"/>
    <w:rsid w:val="3D1E5573"/>
    <w:rsid w:val="3D254AE0"/>
    <w:rsid w:val="3D2B7651"/>
    <w:rsid w:val="3D2E123B"/>
    <w:rsid w:val="3D3C4114"/>
    <w:rsid w:val="3D4A148F"/>
    <w:rsid w:val="3D5D7415"/>
    <w:rsid w:val="3D6028CE"/>
    <w:rsid w:val="3D807085"/>
    <w:rsid w:val="3D8729D9"/>
    <w:rsid w:val="3D8B5919"/>
    <w:rsid w:val="3D8C5F4C"/>
    <w:rsid w:val="3D942549"/>
    <w:rsid w:val="3D9745C5"/>
    <w:rsid w:val="3D9A7949"/>
    <w:rsid w:val="3D9F6E79"/>
    <w:rsid w:val="3DA212CB"/>
    <w:rsid w:val="3DAE5EC2"/>
    <w:rsid w:val="3DC84452"/>
    <w:rsid w:val="3DD154A4"/>
    <w:rsid w:val="3DF21144"/>
    <w:rsid w:val="3DF832AB"/>
    <w:rsid w:val="3DF8538F"/>
    <w:rsid w:val="3DFF7B39"/>
    <w:rsid w:val="3E03044E"/>
    <w:rsid w:val="3E0516F6"/>
    <w:rsid w:val="3E1B5535"/>
    <w:rsid w:val="3E2069EE"/>
    <w:rsid w:val="3E247497"/>
    <w:rsid w:val="3E2B12C1"/>
    <w:rsid w:val="3E2E03FF"/>
    <w:rsid w:val="3E350391"/>
    <w:rsid w:val="3E3E1D53"/>
    <w:rsid w:val="3E404EF2"/>
    <w:rsid w:val="3E490ABE"/>
    <w:rsid w:val="3E492E08"/>
    <w:rsid w:val="3E4A5256"/>
    <w:rsid w:val="3E53187B"/>
    <w:rsid w:val="3E5735FE"/>
    <w:rsid w:val="3E6D7B2B"/>
    <w:rsid w:val="3E6E10B1"/>
    <w:rsid w:val="3E7A3435"/>
    <w:rsid w:val="3E8310AF"/>
    <w:rsid w:val="3E87638D"/>
    <w:rsid w:val="3E881D39"/>
    <w:rsid w:val="3E924FCB"/>
    <w:rsid w:val="3E947253"/>
    <w:rsid w:val="3E95202F"/>
    <w:rsid w:val="3E9B2286"/>
    <w:rsid w:val="3E9F54AE"/>
    <w:rsid w:val="3EA6693C"/>
    <w:rsid w:val="3EAE5A4E"/>
    <w:rsid w:val="3EC45D50"/>
    <w:rsid w:val="3ED8326F"/>
    <w:rsid w:val="3EFD6405"/>
    <w:rsid w:val="3F087854"/>
    <w:rsid w:val="3F3910CE"/>
    <w:rsid w:val="3F3D5750"/>
    <w:rsid w:val="3F400D9C"/>
    <w:rsid w:val="3F430284"/>
    <w:rsid w:val="3F443D56"/>
    <w:rsid w:val="3F44774C"/>
    <w:rsid w:val="3F4563B2"/>
    <w:rsid w:val="3F575327"/>
    <w:rsid w:val="3F5900B0"/>
    <w:rsid w:val="3F5D1868"/>
    <w:rsid w:val="3F5D7C13"/>
    <w:rsid w:val="3F6B2844"/>
    <w:rsid w:val="3F6D76B7"/>
    <w:rsid w:val="3F7C275B"/>
    <w:rsid w:val="3F8A3F1C"/>
    <w:rsid w:val="3F9149C7"/>
    <w:rsid w:val="3FA27F16"/>
    <w:rsid w:val="3FAA0457"/>
    <w:rsid w:val="3FAA7193"/>
    <w:rsid w:val="3FC90DC4"/>
    <w:rsid w:val="3FFF2D85"/>
    <w:rsid w:val="400659DE"/>
    <w:rsid w:val="40110A6F"/>
    <w:rsid w:val="4013200C"/>
    <w:rsid w:val="401502FB"/>
    <w:rsid w:val="40162C6D"/>
    <w:rsid w:val="40265BA1"/>
    <w:rsid w:val="40282336"/>
    <w:rsid w:val="402828F4"/>
    <w:rsid w:val="403F3E6D"/>
    <w:rsid w:val="40471332"/>
    <w:rsid w:val="40532D51"/>
    <w:rsid w:val="4057367F"/>
    <w:rsid w:val="40585BBC"/>
    <w:rsid w:val="40616001"/>
    <w:rsid w:val="40636569"/>
    <w:rsid w:val="406B6A21"/>
    <w:rsid w:val="406C2120"/>
    <w:rsid w:val="409D2F5B"/>
    <w:rsid w:val="40A135BD"/>
    <w:rsid w:val="40A23390"/>
    <w:rsid w:val="40BA07EF"/>
    <w:rsid w:val="40C233F5"/>
    <w:rsid w:val="40C9753F"/>
    <w:rsid w:val="40D17D59"/>
    <w:rsid w:val="40D4197F"/>
    <w:rsid w:val="40DB5220"/>
    <w:rsid w:val="40DD4D48"/>
    <w:rsid w:val="40E345BE"/>
    <w:rsid w:val="40F7192E"/>
    <w:rsid w:val="40FC0CF2"/>
    <w:rsid w:val="40FD3FE9"/>
    <w:rsid w:val="41071E30"/>
    <w:rsid w:val="4114428E"/>
    <w:rsid w:val="411B386E"/>
    <w:rsid w:val="41223E7F"/>
    <w:rsid w:val="41296DAC"/>
    <w:rsid w:val="41301C9A"/>
    <w:rsid w:val="41355A90"/>
    <w:rsid w:val="415037DD"/>
    <w:rsid w:val="41623E40"/>
    <w:rsid w:val="4173703A"/>
    <w:rsid w:val="4176657D"/>
    <w:rsid w:val="418238EE"/>
    <w:rsid w:val="41874E93"/>
    <w:rsid w:val="41884770"/>
    <w:rsid w:val="418859D6"/>
    <w:rsid w:val="41943C55"/>
    <w:rsid w:val="419B49AF"/>
    <w:rsid w:val="419E6F42"/>
    <w:rsid w:val="41A220D2"/>
    <w:rsid w:val="41A35612"/>
    <w:rsid w:val="41AA277F"/>
    <w:rsid w:val="41AC44C7"/>
    <w:rsid w:val="41AC7EAB"/>
    <w:rsid w:val="41B72A7E"/>
    <w:rsid w:val="41BB6E00"/>
    <w:rsid w:val="41EC0D67"/>
    <w:rsid w:val="41F67E38"/>
    <w:rsid w:val="420D72C4"/>
    <w:rsid w:val="42104685"/>
    <w:rsid w:val="421175BD"/>
    <w:rsid w:val="421654C9"/>
    <w:rsid w:val="42262641"/>
    <w:rsid w:val="423D5A66"/>
    <w:rsid w:val="424005B8"/>
    <w:rsid w:val="425830C6"/>
    <w:rsid w:val="426254CD"/>
    <w:rsid w:val="42723962"/>
    <w:rsid w:val="42723EF2"/>
    <w:rsid w:val="42733236"/>
    <w:rsid w:val="427341A8"/>
    <w:rsid w:val="42761150"/>
    <w:rsid w:val="42783849"/>
    <w:rsid w:val="42785161"/>
    <w:rsid w:val="42866868"/>
    <w:rsid w:val="428D023C"/>
    <w:rsid w:val="42984A4B"/>
    <w:rsid w:val="42A11752"/>
    <w:rsid w:val="42A21E08"/>
    <w:rsid w:val="42A3581E"/>
    <w:rsid w:val="42B72071"/>
    <w:rsid w:val="42C32D3C"/>
    <w:rsid w:val="42C5222D"/>
    <w:rsid w:val="42C57F36"/>
    <w:rsid w:val="42D37638"/>
    <w:rsid w:val="42E63A08"/>
    <w:rsid w:val="42FE37FF"/>
    <w:rsid w:val="42FE3CD3"/>
    <w:rsid w:val="43077025"/>
    <w:rsid w:val="432509D4"/>
    <w:rsid w:val="43282273"/>
    <w:rsid w:val="432E04F8"/>
    <w:rsid w:val="4330156F"/>
    <w:rsid w:val="43344CFF"/>
    <w:rsid w:val="433B053C"/>
    <w:rsid w:val="4340655B"/>
    <w:rsid w:val="434F17F6"/>
    <w:rsid w:val="43501147"/>
    <w:rsid w:val="4357461E"/>
    <w:rsid w:val="43586D9D"/>
    <w:rsid w:val="43607C5E"/>
    <w:rsid w:val="4364117A"/>
    <w:rsid w:val="43781220"/>
    <w:rsid w:val="438B0F34"/>
    <w:rsid w:val="439F4200"/>
    <w:rsid w:val="43B12B00"/>
    <w:rsid w:val="43C517AE"/>
    <w:rsid w:val="43CC3E5F"/>
    <w:rsid w:val="43D50FC7"/>
    <w:rsid w:val="43D9356D"/>
    <w:rsid w:val="43E57007"/>
    <w:rsid w:val="43E602DA"/>
    <w:rsid w:val="43EA39CC"/>
    <w:rsid w:val="43EB7D9D"/>
    <w:rsid w:val="43F37296"/>
    <w:rsid w:val="43FD0B66"/>
    <w:rsid w:val="44052611"/>
    <w:rsid w:val="44190D05"/>
    <w:rsid w:val="441E54AB"/>
    <w:rsid w:val="44287195"/>
    <w:rsid w:val="44344BE9"/>
    <w:rsid w:val="44380293"/>
    <w:rsid w:val="446217B4"/>
    <w:rsid w:val="44625F23"/>
    <w:rsid w:val="44772335"/>
    <w:rsid w:val="44982E12"/>
    <w:rsid w:val="44A00DF0"/>
    <w:rsid w:val="44A20B51"/>
    <w:rsid w:val="44B736FA"/>
    <w:rsid w:val="44BC57E2"/>
    <w:rsid w:val="44C45FCB"/>
    <w:rsid w:val="44D73F50"/>
    <w:rsid w:val="44DF7E23"/>
    <w:rsid w:val="44E457DF"/>
    <w:rsid w:val="44E81CBA"/>
    <w:rsid w:val="44EF7CD0"/>
    <w:rsid w:val="44F56185"/>
    <w:rsid w:val="44F85735"/>
    <w:rsid w:val="45036AF3"/>
    <w:rsid w:val="45081228"/>
    <w:rsid w:val="45090814"/>
    <w:rsid w:val="451D14F1"/>
    <w:rsid w:val="45343151"/>
    <w:rsid w:val="453C2005"/>
    <w:rsid w:val="453F0FCB"/>
    <w:rsid w:val="45426CBB"/>
    <w:rsid w:val="45467186"/>
    <w:rsid w:val="454A452D"/>
    <w:rsid w:val="45543459"/>
    <w:rsid w:val="455926D6"/>
    <w:rsid w:val="4561181B"/>
    <w:rsid w:val="456152BE"/>
    <w:rsid w:val="45670720"/>
    <w:rsid w:val="456F4189"/>
    <w:rsid w:val="457E59E7"/>
    <w:rsid w:val="45877724"/>
    <w:rsid w:val="45885326"/>
    <w:rsid w:val="45A24952"/>
    <w:rsid w:val="45A858ED"/>
    <w:rsid w:val="45A8769B"/>
    <w:rsid w:val="45B222C8"/>
    <w:rsid w:val="45B43E2A"/>
    <w:rsid w:val="45CE13D6"/>
    <w:rsid w:val="45CF599B"/>
    <w:rsid w:val="45D5137F"/>
    <w:rsid w:val="45E00BE3"/>
    <w:rsid w:val="45E20FEE"/>
    <w:rsid w:val="45E306D3"/>
    <w:rsid w:val="45E332C3"/>
    <w:rsid w:val="45EA380F"/>
    <w:rsid w:val="45EB618E"/>
    <w:rsid w:val="45F74A55"/>
    <w:rsid w:val="45F92E2C"/>
    <w:rsid w:val="45FF375F"/>
    <w:rsid w:val="460100E0"/>
    <w:rsid w:val="46024FFD"/>
    <w:rsid w:val="4604448E"/>
    <w:rsid w:val="46050349"/>
    <w:rsid w:val="462036D5"/>
    <w:rsid w:val="4621687C"/>
    <w:rsid w:val="46221289"/>
    <w:rsid w:val="462C02CC"/>
    <w:rsid w:val="463070B6"/>
    <w:rsid w:val="463209C2"/>
    <w:rsid w:val="46331B3D"/>
    <w:rsid w:val="463A4797"/>
    <w:rsid w:val="463E4B6F"/>
    <w:rsid w:val="463F7FFF"/>
    <w:rsid w:val="46416B21"/>
    <w:rsid w:val="46513DDF"/>
    <w:rsid w:val="46545224"/>
    <w:rsid w:val="465C35C1"/>
    <w:rsid w:val="4660050C"/>
    <w:rsid w:val="466351F0"/>
    <w:rsid w:val="46665447"/>
    <w:rsid w:val="466E2692"/>
    <w:rsid w:val="46757C31"/>
    <w:rsid w:val="467A433C"/>
    <w:rsid w:val="46823D4A"/>
    <w:rsid w:val="468B4FF2"/>
    <w:rsid w:val="46911EDD"/>
    <w:rsid w:val="46A05E0A"/>
    <w:rsid w:val="46AA764C"/>
    <w:rsid w:val="46AC6D17"/>
    <w:rsid w:val="46B26C1D"/>
    <w:rsid w:val="46B80111"/>
    <w:rsid w:val="46BA6502"/>
    <w:rsid w:val="46BA7686"/>
    <w:rsid w:val="46BB6E6B"/>
    <w:rsid w:val="46C05415"/>
    <w:rsid w:val="46C66D00"/>
    <w:rsid w:val="46DB7138"/>
    <w:rsid w:val="46EE732F"/>
    <w:rsid w:val="47037841"/>
    <w:rsid w:val="471E7C15"/>
    <w:rsid w:val="47225F3F"/>
    <w:rsid w:val="47294356"/>
    <w:rsid w:val="473E1095"/>
    <w:rsid w:val="47420E66"/>
    <w:rsid w:val="475C25B9"/>
    <w:rsid w:val="475D771D"/>
    <w:rsid w:val="4760210A"/>
    <w:rsid w:val="476E3313"/>
    <w:rsid w:val="476E4AC5"/>
    <w:rsid w:val="47723ABC"/>
    <w:rsid w:val="47733871"/>
    <w:rsid w:val="477B0118"/>
    <w:rsid w:val="477B17BB"/>
    <w:rsid w:val="477E6F14"/>
    <w:rsid w:val="477F04A9"/>
    <w:rsid w:val="478104EB"/>
    <w:rsid w:val="47864AE0"/>
    <w:rsid w:val="47865551"/>
    <w:rsid w:val="47875F98"/>
    <w:rsid w:val="47967E44"/>
    <w:rsid w:val="47971775"/>
    <w:rsid w:val="479768CD"/>
    <w:rsid w:val="47AC4635"/>
    <w:rsid w:val="47B960EA"/>
    <w:rsid w:val="47D55DFF"/>
    <w:rsid w:val="47DA5F6C"/>
    <w:rsid w:val="47DE55F6"/>
    <w:rsid w:val="47E837E0"/>
    <w:rsid w:val="47EB7ED5"/>
    <w:rsid w:val="47EF335F"/>
    <w:rsid w:val="47F10E89"/>
    <w:rsid w:val="47F22E4F"/>
    <w:rsid w:val="47F667AC"/>
    <w:rsid w:val="47F92430"/>
    <w:rsid w:val="47FF4932"/>
    <w:rsid w:val="480C3F11"/>
    <w:rsid w:val="481029EC"/>
    <w:rsid w:val="48123E17"/>
    <w:rsid w:val="48166B3E"/>
    <w:rsid w:val="482B3645"/>
    <w:rsid w:val="482B699A"/>
    <w:rsid w:val="482E20D9"/>
    <w:rsid w:val="482E678E"/>
    <w:rsid w:val="4856179A"/>
    <w:rsid w:val="485E4C99"/>
    <w:rsid w:val="486974E6"/>
    <w:rsid w:val="487321E2"/>
    <w:rsid w:val="48816EF5"/>
    <w:rsid w:val="48877A3B"/>
    <w:rsid w:val="488B752C"/>
    <w:rsid w:val="489A58E4"/>
    <w:rsid w:val="48AC74A2"/>
    <w:rsid w:val="48B00D40"/>
    <w:rsid w:val="48B55277"/>
    <w:rsid w:val="48BF7AFB"/>
    <w:rsid w:val="48C60564"/>
    <w:rsid w:val="48D75E9C"/>
    <w:rsid w:val="48DD765B"/>
    <w:rsid w:val="490B241B"/>
    <w:rsid w:val="491379D2"/>
    <w:rsid w:val="4916491B"/>
    <w:rsid w:val="49181DB0"/>
    <w:rsid w:val="491B064B"/>
    <w:rsid w:val="491D3EFC"/>
    <w:rsid w:val="491F7C74"/>
    <w:rsid w:val="49220591"/>
    <w:rsid w:val="49244F48"/>
    <w:rsid w:val="492B0AC8"/>
    <w:rsid w:val="492B7622"/>
    <w:rsid w:val="492F17BC"/>
    <w:rsid w:val="493D2AC3"/>
    <w:rsid w:val="493D6F56"/>
    <w:rsid w:val="49417BEA"/>
    <w:rsid w:val="49481DBE"/>
    <w:rsid w:val="49562698"/>
    <w:rsid w:val="496164DE"/>
    <w:rsid w:val="4964159C"/>
    <w:rsid w:val="496419EC"/>
    <w:rsid w:val="496A379E"/>
    <w:rsid w:val="49700424"/>
    <w:rsid w:val="49793056"/>
    <w:rsid w:val="497C0C22"/>
    <w:rsid w:val="4988244F"/>
    <w:rsid w:val="498D4132"/>
    <w:rsid w:val="49AB59AC"/>
    <w:rsid w:val="49AB6A49"/>
    <w:rsid w:val="49B1360A"/>
    <w:rsid w:val="49B27C62"/>
    <w:rsid w:val="49BA290F"/>
    <w:rsid w:val="49C34C45"/>
    <w:rsid w:val="49E13015"/>
    <w:rsid w:val="49EE19E0"/>
    <w:rsid w:val="49F42EAF"/>
    <w:rsid w:val="49FC7627"/>
    <w:rsid w:val="4A0A7C9D"/>
    <w:rsid w:val="4A190B67"/>
    <w:rsid w:val="4A282DB9"/>
    <w:rsid w:val="4A33120A"/>
    <w:rsid w:val="4A3C6839"/>
    <w:rsid w:val="4A4A2ACF"/>
    <w:rsid w:val="4A4D3403"/>
    <w:rsid w:val="4A584D4D"/>
    <w:rsid w:val="4A5A263E"/>
    <w:rsid w:val="4A710911"/>
    <w:rsid w:val="4A7538DB"/>
    <w:rsid w:val="4A7F7F18"/>
    <w:rsid w:val="4A802336"/>
    <w:rsid w:val="4A826493"/>
    <w:rsid w:val="4A9621B8"/>
    <w:rsid w:val="4A9D34B8"/>
    <w:rsid w:val="4AA22C7D"/>
    <w:rsid w:val="4AA822D9"/>
    <w:rsid w:val="4AB3471E"/>
    <w:rsid w:val="4ABF170F"/>
    <w:rsid w:val="4AD14F9E"/>
    <w:rsid w:val="4AEE5B50"/>
    <w:rsid w:val="4AEE62AD"/>
    <w:rsid w:val="4AF95546"/>
    <w:rsid w:val="4B0C2494"/>
    <w:rsid w:val="4B1732F9"/>
    <w:rsid w:val="4B191858"/>
    <w:rsid w:val="4B217B57"/>
    <w:rsid w:val="4B2257F9"/>
    <w:rsid w:val="4B26156D"/>
    <w:rsid w:val="4B3C4B0D"/>
    <w:rsid w:val="4B3F3080"/>
    <w:rsid w:val="4B502B24"/>
    <w:rsid w:val="4B564A6F"/>
    <w:rsid w:val="4B6C796D"/>
    <w:rsid w:val="4B83419F"/>
    <w:rsid w:val="4B946370"/>
    <w:rsid w:val="4B965EAB"/>
    <w:rsid w:val="4BA229EF"/>
    <w:rsid w:val="4BA44E68"/>
    <w:rsid w:val="4BAB0466"/>
    <w:rsid w:val="4BBD7DA8"/>
    <w:rsid w:val="4BC46A6B"/>
    <w:rsid w:val="4BC87E40"/>
    <w:rsid w:val="4BC91B09"/>
    <w:rsid w:val="4BD775FC"/>
    <w:rsid w:val="4BDD47F4"/>
    <w:rsid w:val="4BDE793E"/>
    <w:rsid w:val="4BE77467"/>
    <w:rsid w:val="4BE96317"/>
    <w:rsid w:val="4BE978A5"/>
    <w:rsid w:val="4BF86D6D"/>
    <w:rsid w:val="4BFA44D5"/>
    <w:rsid w:val="4C062E6B"/>
    <w:rsid w:val="4C0739EE"/>
    <w:rsid w:val="4C2331BC"/>
    <w:rsid w:val="4C2D64CC"/>
    <w:rsid w:val="4C352404"/>
    <w:rsid w:val="4C417F01"/>
    <w:rsid w:val="4C435792"/>
    <w:rsid w:val="4C49748B"/>
    <w:rsid w:val="4C497712"/>
    <w:rsid w:val="4C58766F"/>
    <w:rsid w:val="4C5A5BD4"/>
    <w:rsid w:val="4C6C771F"/>
    <w:rsid w:val="4C6D6F48"/>
    <w:rsid w:val="4C6F0317"/>
    <w:rsid w:val="4C767ADB"/>
    <w:rsid w:val="4C86237E"/>
    <w:rsid w:val="4C8768B8"/>
    <w:rsid w:val="4C892A80"/>
    <w:rsid w:val="4C903ABD"/>
    <w:rsid w:val="4C92075D"/>
    <w:rsid w:val="4CA26BF2"/>
    <w:rsid w:val="4CAE1A3B"/>
    <w:rsid w:val="4CB24DE4"/>
    <w:rsid w:val="4CEC0405"/>
    <w:rsid w:val="4CFC0809"/>
    <w:rsid w:val="4D000F8C"/>
    <w:rsid w:val="4D065468"/>
    <w:rsid w:val="4D2266CA"/>
    <w:rsid w:val="4D302450"/>
    <w:rsid w:val="4D3857A8"/>
    <w:rsid w:val="4D3C02CE"/>
    <w:rsid w:val="4D491497"/>
    <w:rsid w:val="4D5962AF"/>
    <w:rsid w:val="4D717EDF"/>
    <w:rsid w:val="4D801ACD"/>
    <w:rsid w:val="4D810EFD"/>
    <w:rsid w:val="4D8219CC"/>
    <w:rsid w:val="4D8613E5"/>
    <w:rsid w:val="4D896004"/>
    <w:rsid w:val="4D9D711E"/>
    <w:rsid w:val="4D9E15F1"/>
    <w:rsid w:val="4DA16EA9"/>
    <w:rsid w:val="4DB841F3"/>
    <w:rsid w:val="4DB957A7"/>
    <w:rsid w:val="4DBE3EFF"/>
    <w:rsid w:val="4DD245BF"/>
    <w:rsid w:val="4DD61F45"/>
    <w:rsid w:val="4DE33966"/>
    <w:rsid w:val="4DEF40B9"/>
    <w:rsid w:val="4DF96D5A"/>
    <w:rsid w:val="4DFD1E0B"/>
    <w:rsid w:val="4E0566D6"/>
    <w:rsid w:val="4E0833CC"/>
    <w:rsid w:val="4E096E4E"/>
    <w:rsid w:val="4E1217EE"/>
    <w:rsid w:val="4E200E5C"/>
    <w:rsid w:val="4E255238"/>
    <w:rsid w:val="4E360A67"/>
    <w:rsid w:val="4E3911A8"/>
    <w:rsid w:val="4E392040"/>
    <w:rsid w:val="4E491CCC"/>
    <w:rsid w:val="4E4D3DC5"/>
    <w:rsid w:val="4E4D5283"/>
    <w:rsid w:val="4E4D7FC7"/>
    <w:rsid w:val="4E595274"/>
    <w:rsid w:val="4E61488B"/>
    <w:rsid w:val="4E7504EE"/>
    <w:rsid w:val="4E7B3BF3"/>
    <w:rsid w:val="4E83492A"/>
    <w:rsid w:val="4E8934B0"/>
    <w:rsid w:val="4E8C3510"/>
    <w:rsid w:val="4E9672F5"/>
    <w:rsid w:val="4EC042E4"/>
    <w:rsid w:val="4EC84E18"/>
    <w:rsid w:val="4ECA15BA"/>
    <w:rsid w:val="4ED8514A"/>
    <w:rsid w:val="4EDE4C8A"/>
    <w:rsid w:val="4EE41892"/>
    <w:rsid w:val="4EE80B08"/>
    <w:rsid w:val="4EF45944"/>
    <w:rsid w:val="4F0264B2"/>
    <w:rsid w:val="4F027C1A"/>
    <w:rsid w:val="4F05591F"/>
    <w:rsid w:val="4F067289"/>
    <w:rsid w:val="4F0F5AC0"/>
    <w:rsid w:val="4F1A1E34"/>
    <w:rsid w:val="4F1D0CB2"/>
    <w:rsid w:val="4F280209"/>
    <w:rsid w:val="4F642884"/>
    <w:rsid w:val="4F674123"/>
    <w:rsid w:val="4F6F4B00"/>
    <w:rsid w:val="4F722E88"/>
    <w:rsid w:val="4F800A87"/>
    <w:rsid w:val="4F951F9D"/>
    <w:rsid w:val="4F95697F"/>
    <w:rsid w:val="4F987A94"/>
    <w:rsid w:val="4F9C04A3"/>
    <w:rsid w:val="4FA06485"/>
    <w:rsid w:val="4FB25D36"/>
    <w:rsid w:val="4FB600AC"/>
    <w:rsid w:val="4FCD503F"/>
    <w:rsid w:val="4FCF79B6"/>
    <w:rsid w:val="4FE06F43"/>
    <w:rsid w:val="4FE1408D"/>
    <w:rsid w:val="4FEC1B9E"/>
    <w:rsid w:val="4FF260E2"/>
    <w:rsid w:val="4FF87BDA"/>
    <w:rsid w:val="4FFB56B9"/>
    <w:rsid w:val="4FFC1C0F"/>
    <w:rsid w:val="501702A0"/>
    <w:rsid w:val="501B03E2"/>
    <w:rsid w:val="501C4F0D"/>
    <w:rsid w:val="50372B46"/>
    <w:rsid w:val="505470BC"/>
    <w:rsid w:val="505A7CD1"/>
    <w:rsid w:val="505F5948"/>
    <w:rsid w:val="50631789"/>
    <w:rsid w:val="506352B4"/>
    <w:rsid w:val="507B05D5"/>
    <w:rsid w:val="507E4835"/>
    <w:rsid w:val="507F48A9"/>
    <w:rsid w:val="50826DEB"/>
    <w:rsid w:val="508A00C9"/>
    <w:rsid w:val="5095511A"/>
    <w:rsid w:val="509C1BAA"/>
    <w:rsid w:val="50A97106"/>
    <w:rsid w:val="50CA2BBB"/>
    <w:rsid w:val="50CF47A9"/>
    <w:rsid w:val="50D07326"/>
    <w:rsid w:val="50D21A70"/>
    <w:rsid w:val="50D607EA"/>
    <w:rsid w:val="50DE0415"/>
    <w:rsid w:val="50E35A2B"/>
    <w:rsid w:val="50E91616"/>
    <w:rsid w:val="50EA500B"/>
    <w:rsid w:val="50F06BCF"/>
    <w:rsid w:val="50F07B2B"/>
    <w:rsid w:val="50FF75A1"/>
    <w:rsid w:val="51146B7A"/>
    <w:rsid w:val="51312C3A"/>
    <w:rsid w:val="51612BE6"/>
    <w:rsid w:val="516A593E"/>
    <w:rsid w:val="51752B27"/>
    <w:rsid w:val="518D5DD1"/>
    <w:rsid w:val="51921E23"/>
    <w:rsid w:val="51A50DBB"/>
    <w:rsid w:val="51B51842"/>
    <w:rsid w:val="51C26A39"/>
    <w:rsid w:val="51D14F11"/>
    <w:rsid w:val="51D610EC"/>
    <w:rsid w:val="51DC381E"/>
    <w:rsid w:val="51DF30F8"/>
    <w:rsid w:val="51EF2466"/>
    <w:rsid w:val="51F76001"/>
    <w:rsid w:val="5200552B"/>
    <w:rsid w:val="52021276"/>
    <w:rsid w:val="52022443"/>
    <w:rsid w:val="520708C6"/>
    <w:rsid w:val="521D27E0"/>
    <w:rsid w:val="522159A7"/>
    <w:rsid w:val="523D6662"/>
    <w:rsid w:val="523E6D57"/>
    <w:rsid w:val="523F2AE5"/>
    <w:rsid w:val="524143B1"/>
    <w:rsid w:val="5242502D"/>
    <w:rsid w:val="5262601D"/>
    <w:rsid w:val="52662470"/>
    <w:rsid w:val="526910A0"/>
    <w:rsid w:val="526C173C"/>
    <w:rsid w:val="526D37FE"/>
    <w:rsid w:val="527145A6"/>
    <w:rsid w:val="527F1DD2"/>
    <w:rsid w:val="528176BB"/>
    <w:rsid w:val="528B1ED6"/>
    <w:rsid w:val="528F5286"/>
    <w:rsid w:val="52925E66"/>
    <w:rsid w:val="52940E7C"/>
    <w:rsid w:val="52943481"/>
    <w:rsid w:val="529B2122"/>
    <w:rsid w:val="52A94C11"/>
    <w:rsid w:val="52B05D77"/>
    <w:rsid w:val="52B92EE7"/>
    <w:rsid w:val="52BC7BD7"/>
    <w:rsid w:val="52C06024"/>
    <w:rsid w:val="52C07233"/>
    <w:rsid w:val="52C67C23"/>
    <w:rsid w:val="52D16106"/>
    <w:rsid w:val="52D7062C"/>
    <w:rsid w:val="52F21F55"/>
    <w:rsid w:val="52FD1663"/>
    <w:rsid w:val="53095C1D"/>
    <w:rsid w:val="530F2B07"/>
    <w:rsid w:val="531145F2"/>
    <w:rsid w:val="53191BB3"/>
    <w:rsid w:val="531C7443"/>
    <w:rsid w:val="53205D51"/>
    <w:rsid w:val="53290C61"/>
    <w:rsid w:val="532A6A15"/>
    <w:rsid w:val="532C190B"/>
    <w:rsid w:val="532F4F57"/>
    <w:rsid w:val="532F65B2"/>
    <w:rsid w:val="53405E30"/>
    <w:rsid w:val="53460F08"/>
    <w:rsid w:val="534B125D"/>
    <w:rsid w:val="535D6E71"/>
    <w:rsid w:val="535E53F3"/>
    <w:rsid w:val="536319B2"/>
    <w:rsid w:val="53817F4B"/>
    <w:rsid w:val="53991C44"/>
    <w:rsid w:val="53A32CE0"/>
    <w:rsid w:val="53A60870"/>
    <w:rsid w:val="53A84C0C"/>
    <w:rsid w:val="53B536AF"/>
    <w:rsid w:val="53C34865"/>
    <w:rsid w:val="53CB1124"/>
    <w:rsid w:val="53CE651E"/>
    <w:rsid w:val="53D32684"/>
    <w:rsid w:val="53DA18AC"/>
    <w:rsid w:val="53DD0E57"/>
    <w:rsid w:val="53E45AB6"/>
    <w:rsid w:val="53E67701"/>
    <w:rsid w:val="53E967F4"/>
    <w:rsid w:val="53EF1648"/>
    <w:rsid w:val="53F763F8"/>
    <w:rsid w:val="53FB24A6"/>
    <w:rsid w:val="53FB3447"/>
    <w:rsid w:val="54033BCE"/>
    <w:rsid w:val="5404740F"/>
    <w:rsid w:val="54102D6B"/>
    <w:rsid w:val="54131712"/>
    <w:rsid w:val="54177EC5"/>
    <w:rsid w:val="54181E8F"/>
    <w:rsid w:val="541D0FEB"/>
    <w:rsid w:val="542C2941"/>
    <w:rsid w:val="542F2E0F"/>
    <w:rsid w:val="54384218"/>
    <w:rsid w:val="543C5B7E"/>
    <w:rsid w:val="543E4A86"/>
    <w:rsid w:val="54413194"/>
    <w:rsid w:val="54476F4C"/>
    <w:rsid w:val="54481628"/>
    <w:rsid w:val="54604543"/>
    <w:rsid w:val="546D41FA"/>
    <w:rsid w:val="54735034"/>
    <w:rsid w:val="54795CA7"/>
    <w:rsid w:val="549A5809"/>
    <w:rsid w:val="54A55424"/>
    <w:rsid w:val="54AD34C4"/>
    <w:rsid w:val="54B43F95"/>
    <w:rsid w:val="54B90AA4"/>
    <w:rsid w:val="54BA216B"/>
    <w:rsid w:val="54BE6F73"/>
    <w:rsid w:val="54C221A8"/>
    <w:rsid w:val="54C53DC5"/>
    <w:rsid w:val="54C87042"/>
    <w:rsid w:val="54D951F4"/>
    <w:rsid w:val="54DB076D"/>
    <w:rsid w:val="54EA5895"/>
    <w:rsid w:val="54F14D1E"/>
    <w:rsid w:val="5508132B"/>
    <w:rsid w:val="55086215"/>
    <w:rsid w:val="550A4657"/>
    <w:rsid w:val="5516017D"/>
    <w:rsid w:val="55180218"/>
    <w:rsid w:val="551F2C7C"/>
    <w:rsid w:val="5520492E"/>
    <w:rsid w:val="552C10A0"/>
    <w:rsid w:val="552F7491"/>
    <w:rsid w:val="553B071F"/>
    <w:rsid w:val="553C778E"/>
    <w:rsid w:val="553D36AC"/>
    <w:rsid w:val="555161D1"/>
    <w:rsid w:val="555B721E"/>
    <w:rsid w:val="55653995"/>
    <w:rsid w:val="556E1A9F"/>
    <w:rsid w:val="55752A19"/>
    <w:rsid w:val="55962FE0"/>
    <w:rsid w:val="559D43FA"/>
    <w:rsid w:val="55A559A5"/>
    <w:rsid w:val="55AC40A5"/>
    <w:rsid w:val="55B042F8"/>
    <w:rsid w:val="55B1402D"/>
    <w:rsid w:val="55C037D5"/>
    <w:rsid w:val="55C6402C"/>
    <w:rsid w:val="55CF5599"/>
    <w:rsid w:val="55D67B10"/>
    <w:rsid w:val="55DA3E45"/>
    <w:rsid w:val="55E24503"/>
    <w:rsid w:val="55F22C62"/>
    <w:rsid w:val="55FD758F"/>
    <w:rsid w:val="5603771C"/>
    <w:rsid w:val="56150435"/>
    <w:rsid w:val="56195637"/>
    <w:rsid w:val="561C2F39"/>
    <w:rsid w:val="5624253A"/>
    <w:rsid w:val="56262013"/>
    <w:rsid w:val="56285BD9"/>
    <w:rsid w:val="56290384"/>
    <w:rsid w:val="56383558"/>
    <w:rsid w:val="564D66AA"/>
    <w:rsid w:val="565151E5"/>
    <w:rsid w:val="565F5B54"/>
    <w:rsid w:val="56635D9C"/>
    <w:rsid w:val="56680EAC"/>
    <w:rsid w:val="5673006D"/>
    <w:rsid w:val="567535C9"/>
    <w:rsid w:val="567967DA"/>
    <w:rsid w:val="567F1C71"/>
    <w:rsid w:val="568156EF"/>
    <w:rsid w:val="569272E3"/>
    <w:rsid w:val="569F41A2"/>
    <w:rsid w:val="56A8574D"/>
    <w:rsid w:val="56B1297D"/>
    <w:rsid w:val="56B15EB0"/>
    <w:rsid w:val="56B45E9F"/>
    <w:rsid w:val="56B840C8"/>
    <w:rsid w:val="56C02A96"/>
    <w:rsid w:val="56D415D4"/>
    <w:rsid w:val="56E0462C"/>
    <w:rsid w:val="56E81C82"/>
    <w:rsid w:val="56FD28A4"/>
    <w:rsid w:val="570039CC"/>
    <w:rsid w:val="57007337"/>
    <w:rsid w:val="570E6E8F"/>
    <w:rsid w:val="57101F87"/>
    <w:rsid w:val="57106E4E"/>
    <w:rsid w:val="57131037"/>
    <w:rsid w:val="571903F8"/>
    <w:rsid w:val="571C2263"/>
    <w:rsid w:val="571F10B8"/>
    <w:rsid w:val="57283CBF"/>
    <w:rsid w:val="573A1EEA"/>
    <w:rsid w:val="573B6D22"/>
    <w:rsid w:val="57421428"/>
    <w:rsid w:val="57454D4A"/>
    <w:rsid w:val="57513AAB"/>
    <w:rsid w:val="577F5788"/>
    <w:rsid w:val="578A71ED"/>
    <w:rsid w:val="579B0E0D"/>
    <w:rsid w:val="579F43D7"/>
    <w:rsid w:val="579F6C1A"/>
    <w:rsid w:val="57A45773"/>
    <w:rsid w:val="57A45A0B"/>
    <w:rsid w:val="57B45A75"/>
    <w:rsid w:val="57B74EC7"/>
    <w:rsid w:val="57D94877"/>
    <w:rsid w:val="57DF0C57"/>
    <w:rsid w:val="57E97DCB"/>
    <w:rsid w:val="57EE550F"/>
    <w:rsid w:val="57EF5A90"/>
    <w:rsid w:val="57F03F81"/>
    <w:rsid w:val="57F8000E"/>
    <w:rsid w:val="57F87BFC"/>
    <w:rsid w:val="57F94210"/>
    <w:rsid w:val="58135481"/>
    <w:rsid w:val="581C4BA4"/>
    <w:rsid w:val="583214E0"/>
    <w:rsid w:val="583C439E"/>
    <w:rsid w:val="584C096E"/>
    <w:rsid w:val="58615A94"/>
    <w:rsid w:val="58800A8A"/>
    <w:rsid w:val="588333E5"/>
    <w:rsid w:val="58866BAF"/>
    <w:rsid w:val="58921A11"/>
    <w:rsid w:val="58945C49"/>
    <w:rsid w:val="589711FB"/>
    <w:rsid w:val="58A127C2"/>
    <w:rsid w:val="58AA7D56"/>
    <w:rsid w:val="58AB0D0C"/>
    <w:rsid w:val="58AF3175"/>
    <w:rsid w:val="58B57CAD"/>
    <w:rsid w:val="58B66B33"/>
    <w:rsid w:val="58CD6C54"/>
    <w:rsid w:val="58D13774"/>
    <w:rsid w:val="58D97E3F"/>
    <w:rsid w:val="58E24566"/>
    <w:rsid w:val="58FB7105"/>
    <w:rsid w:val="58FF1FF9"/>
    <w:rsid w:val="590D1A69"/>
    <w:rsid w:val="591F781C"/>
    <w:rsid w:val="592E0A74"/>
    <w:rsid w:val="593C4741"/>
    <w:rsid w:val="593E2878"/>
    <w:rsid w:val="59407EBE"/>
    <w:rsid w:val="596318B0"/>
    <w:rsid w:val="59791C33"/>
    <w:rsid w:val="598234F7"/>
    <w:rsid w:val="598A75B5"/>
    <w:rsid w:val="5990667C"/>
    <w:rsid w:val="59A05222"/>
    <w:rsid w:val="59A76EDA"/>
    <w:rsid w:val="59AD46C0"/>
    <w:rsid w:val="59B16491"/>
    <w:rsid w:val="59B2747D"/>
    <w:rsid w:val="59B82021"/>
    <w:rsid w:val="59BE702D"/>
    <w:rsid w:val="59BE7035"/>
    <w:rsid w:val="59C85BBA"/>
    <w:rsid w:val="59CC3500"/>
    <w:rsid w:val="59F07607"/>
    <w:rsid w:val="59F64A21"/>
    <w:rsid w:val="59F91F3B"/>
    <w:rsid w:val="5A086BE9"/>
    <w:rsid w:val="5A0969B1"/>
    <w:rsid w:val="5A13112F"/>
    <w:rsid w:val="5A136829"/>
    <w:rsid w:val="5A190D89"/>
    <w:rsid w:val="5A1C5F95"/>
    <w:rsid w:val="5A251DB9"/>
    <w:rsid w:val="5A3410A5"/>
    <w:rsid w:val="5A357653"/>
    <w:rsid w:val="5A3F4F1E"/>
    <w:rsid w:val="5A543740"/>
    <w:rsid w:val="5A641ED4"/>
    <w:rsid w:val="5A673229"/>
    <w:rsid w:val="5A7122F9"/>
    <w:rsid w:val="5A7263B9"/>
    <w:rsid w:val="5A8048EE"/>
    <w:rsid w:val="5A9304C2"/>
    <w:rsid w:val="5A930D03"/>
    <w:rsid w:val="5A944180"/>
    <w:rsid w:val="5AA12BDF"/>
    <w:rsid w:val="5AB32912"/>
    <w:rsid w:val="5ABA7C95"/>
    <w:rsid w:val="5ABC17C7"/>
    <w:rsid w:val="5ABC2B79"/>
    <w:rsid w:val="5ADC1A05"/>
    <w:rsid w:val="5AEA2AEA"/>
    <w:rsid w:val="5AEA59DC"/>
    <w:rsid w:val="5AF2269E"/>
    <w:rsid w:val="5AFF0206"/>
    <w:rsid w:val="5B011FEF"/>
    <w:rsid w:val="5B0C3FF1"/>
    <w:rsid w:val="5B0D3DD0"/>
    <w:rsid w:val="5B123746"/>
    <w:rsid w:val="5B1851FF"/>
    <w:rsid w:val="5B2041DF"/>
    <w:rsid w:val="5B3004B5"/>
    <w:rsid w:val="5B346D26"/>
    <w:rsid w:val="5B370E4D"/>
    <w:rsid w:val="5B3C2907"/>
    <w:rsid w:val="5B451BE3"/>
    <w:rsid w:val="5B561B27"/>
    <w:rsid w:val="5B5F134F"/>
    <w:rsid w:val="5B614084"/>
    <w:rsid w:val="5B7D7D38"/>
    <w:rsid w:val="5B863B83"/>
    <w:rsid w:val="5B876869"/>
    <w:rsid w:val="5B8A50DE"/>
    <w:rsid w:val="5B8E7AB3"/>
    <w:rsid w:val="5B9150F2"/>
    <w:rsid w:val="5BA67D81"/>
    <w:rsid w:val="5BA873ED"/>
    <w:rsid w:val="5BB16E51"/>
    <w:rsid w:val="5BCD20F1"/>
    <w:rsid w:val="5BD01EF1"/>
    <w:rsid w:val="5BDC7CD1"/>
    <w:rsid w:val="5BE063FF"/>
    <w:rsid w:val="5BE70177"/>
    <w:rsid w:val="5BF136F2"/>
    <w:rsid w:val="5BF1724E"/>
    <w:rsid w:val="5BF31218"/>
    <w:rsid w:val="5BF35570"/>
    <w:rsid w:val="5BFD2097"/>
    <w:rsid w:val="5C292E8C"/>
    <w:rsid w:val="5C294C3A"/>
    <w:rsid w:val="5C311D40"/>
    <w:rsid w:val="5C3D5BA7"/>
    <w:rsid w:val="5C476EBF"/>
    <w:rsid w:val="5C486627"/>
    <w:rsid w:val="5C49124A"/>
    <w:rsid w:val="5C4A1D17"/>
    <w:rsid w:val="5C5A5329"/>
    <w:rsid w:val="5C5C7D66"/>
    <w:rsid w:val="5C646D44"/>
    <w:rsid w:val="5C647AF5"/>
    <w:rsid w:val="5C66535C"/>
    <w:rsid w:val="5C6D424E"/>
    <w:rsid w:val="5C7B120D"/>
    <w:rsid w:val="5C8A7F41"/>
    <w:rsid w:val="5C916109"/>
    <w:rsid w:val="5C9B540C"/>
    <w:rsid w:val="5C9C0F6E"/>
    <w:rsid w:val="5C9E1D55"/>
    <w:rsid w:val="5C9F7ECF"/>
    <w:rsid w:val="5CA07506"/>
    <w:rsid w:val="5CB44D92"/>
    <w:rsid w:val="5CBC6740"/>
    <w:rsid w:val="5CBF559E"/>
    <w:rsid w:val="5CC326A2"/>
    <w:rsid w:val="5CC74453"/>
    <w:rsid w:val="5CC837EE"/>
    <w:rsid w:val="5CCB1B67"/>
    <w:rsid w:val="5CD93AEF"/>
    <w:rsid w:val="5CE437F8"/>
    <w:rsid w:val="5CE90520"/>
    <w:rsid w:val="5CEB6FBB"/>
    <w:rsid w:val="5CF05758"/>
    <w:rsid w:val="5CFF3854"/>
    <w:rsid w:val="5D04687A"/>
    <w:rsid w:val="5D0E2082"/>
    <w:rsid w:val="5D0F424E"/>
    <w:rsid w:val="5D132369"/>
    <w:rsid w:val="5D1E6FEC"/>
    <w:rsid w:val="5D4069EC"/>
    <w:rsid w:val="5D452035"/>
    <w:rsid w:val="5D46181B"/>
    <w:rsid w:val="5D563779"/>
    <w:rsid w:val="5D584E0B"/>
    <w:rsid w:val="5D7A7717"/>
    <w:rsid w:val="5D842CD4"/>
    <w:rsid w:val="5D8B0DBF"/>
    <w:rsid w:val="5D9C143B"/>
    <w:rsid w:val="5D9E3C43"/>
    <w:rsid w:val="5DBC7D30"/>
    <w:rsid w:val="5DD155AC"/>
    <w:rsid w:val="5DE46A80"/>
    <w:rsid w:val="5DE95D92"/>
    <w:rsid w:val="5DEE3976"/>
    <w:rsid w:val="5DFB3C57"/>
    <w:rsid w:val="5E030ED2"/>
    <w:rsid w:val="5E075358"/>
    <w:rsid w:val="5E122FC9"/>
    <w:rsid w:val="5E132D24"/>
    <w:rsid w:val="5E1C3178"/>
    <w:rsid w:val="5E2063E8"/>
    <w:rsid w:val="5E274A00"/>
    <w:rsid w:val="5E345375"/>
    <w:rsid w:val="5E37044A"/>
    <w:rsid w:val="5E3D1844"/>
    <w:rsid w:val="5E3D511B"/>
    <w:rsid w:val="5E4228B0"/>
    <w:rsid w:val="5E4D1B34"/>
    <w:rsid w:val="5E553788"/>
    <w:rsid w:val="5E653D3B"/>
    <w:rsid w:val="5E7548D4"/>
    <w:rsid w:val="5E886969"/>
    <w:rsid w:val="5E8B106F"/>
    <w:rsid w:val="5E8D40BB"/>
    <w:rsid w:val="5E9162A9"/>
    <w:rsid w:val="5E926B16"/>
    <w:rsid w:val="5E96232F"/>
    <w:rsid w:val="5E9B11D3"/>
    <w:rsid w:val="5E9D0D74"/>
    <w:rsid w:val="5EA66A16"/>
    <w:rsid w:val="5EB32EE1"/>
    <w:rsid w:val="5EB33A73"/>
    <w:rsid w:val="5EBA1FD7"/>
    <w:rsid w:val="5EC01D44"/>
    <w:rsid w:val="5EDD546C"/>
    <w:rsid w:val="5EEB267A"/>
    <w:rsid w:val="5F0311B4"/>
    <w:rsid w:val="5F037B01"/>
    <w:rsid w:val="5F0C6B39"/>
    <w:rsid w:val="5F1059D7"/>
    <w:rsid w:val="5F1A52A3"/>
    <w:rsid w:val="5F2476B4"/>
    <w:rsid w:val="5F27538B"/>
    <w:rsid w:val="5F2A7A2A"/>
    <w:rsid w:val="5F2B08F6"/>
    <w:rsid w:val="5F313E05"/>
    <w:rsid w:val="5F372492"/>
    <w:rsid w:val="5F37766E"/>
    <w:rsid w:val="5F491865"/>
    <w:rsid w:val="5F4E0241"/>
    <w:rsid w:val="5F4F21FD"/>
    <w:rsid w:val="5F6342F2"/>
    <w:rsid w:val="5F645F89"/>
    <w:rsid w:val="5F6B7684"/>
    <w:rsid w:val="5F6D3196"/>
    <w:rsid w:val="5F6D7533"/>
    <w:rsid w:val="5F7E1DB4"/>
    <w:rsid w:val="5F7F7267"/>
    <w:rsid w:val="5F805584"/>
    <w:rsid w:val="5F876F48"/>
    <w:rsid w:val="5FB51DFD"/>
    <w:rsid w:val="5FB872AD"/>
    <w:rsid w:val="5FBE1C78"/>
    <w:rsid w:val="5FCD7764"/>
    <w:rsid w:val="5FDD32B2"/>
    <w:rsid w:val="5FEC53F1"/>
    <w:rsid w:val="5FED5F7E"/>
    <w:rsid w:val="5FF34FD3"/>
    <w:rsid w:val="5FFE18E5"/>
    <w:rsid w:val="60044326"/>
    <w:rsid w:val="60123C37"/>
    <w:rsid w:val="60133C63"/>
    <w:rsid w:val="60136EC9"/>
    <w:rsid w:val="60191616"/>
    <w:rsid w:val="60330171"/>
    <w:rsid w:val="603B6FC6"/>
    <w:rsid w:val="603D6F06"/>
    <w:rsid w:val="60433F1A"/>
    <w:rsid w:val="604B5909"/>
    <w:rsid w:val="604F09E7"/>
    <w:rsid w:val="60634492"/>
    <w:rsid w:val="607E12CC"/>
    <w:rsid w:val="60954E83"/>
    <w:rsid w:val="609B0A35"/>
    <w:rsid w:val="609D79A4"/>
    <w:rsid w:val="60A818B2"/>
    <w:rsid w:val="60AB4123"/>
    <w:rsid w:val="60AC424D"/>
    <w:rsid w:val="60B30F76"/>
    <w:rsid w:val="60C72638"/>
    <w:rsid w:val="60D62EB6"/>
    <w:rsid w:val="60D86BAD"/>
    <w:rsid w:val="61047A23"/>
    <w:rsid w:val="610D3B34"/>
    <w:rsid w:val="61101393"/>
    <w:rsid w:val="61112E4A"/>
    <w:rsid w:val="611539DF"/>
    <w:rsid w:val="61215DA3"/>
    <w:rsid w:val="612F2B84"/>
    <w:rsid w:val="61361D14"/>
    <w:rsid w:val="61396BBD"/>
    <w:rsid w:val="61407EC2"/>
    <w:rsid w:val="61473F1B"/>
    <w:rsid w:val="61563682"/>
    <w:rsid w:val="615C1E6E"/>
    <w:rsid w:val="6161317E"/>
    <w:rsid w:val="616E1341"/>
    <w:rsid w:val="61741EEE"/>
    <w:rsid w:val="61774699"/>
    <w:rsid w:val="61780740"/>
    <w:rsid w:val="617869AC"/>
    <w:rsid w:val="6186668A"/>
    <w:rsid w:val="619111E2"/>
    <w:rsid w:val="619B7BF6"/>
    <w:rsid w:val="619E0583"/>
    <w:rsid w:val="61B37132"/>
    <w:rsid w:val="61B80901"/>
    <w:rsid w:val="61BA6334"/>
    <w:rsid w:val="61CD5978"/>
    <w:rsid w:val="61D30270"/>
    <w:rsid w:val="61DF188E"/>
    <w:rsid w:val="61E2031B"/>
    <w:rsid w:val="61F53E67"/>
    <w:rsid w:val="61F74D37"/>
    <w:rsid w:val="61FF680B"/>
    <w:rsid w:val="620406FA"/>
    <w:rsid w:val="62066D15"/>
    <w:rsid w:val="620E69B2"/>
    <w:rsid w:val="62145A44"/>
    <w:rsid w:val="622D6B06"/>
    <w:rsid w:val="624000BA"/>
    <w:rsid w:val="6247488B"/>
    <w:rsid w:val="624D53FA"/>
    <w:rsid w:val="62500A46"/>
    <w:rsid w:val="625802FF"/>
    <w:rsid w:val="626528B0"/>
    <w:rsid w:val="626A1B08"/>
    <w:rsid w:val="626C0492"/>
    <w:rsid w:val="626D33A6"/>
    <w:rsid w:val="626F5370"/>
    <w:rsid w:val="627E55B4"/>
    <w:rsid w:val="62897BCE"/>
    <w:rsid w:val="628F514A"/>
    <w:rsid w:val="62993668"/>
    <w:rsid w:val="62A15AED"/>
    <w:rsid w:val="62A82630"/>
    <w:rsid w:val="62AD20A6"/>
    <w:rsid w:val="62B92BEC"/>
    <w:rsid w:val="62BF67D8"/>
    <w:rsid w:val="62C14AD3"/>
    <w:rsid w:val="62CC0A6D"/>
    <w:rsid w:val="62D6489F"/>
    <w:rsid w:val="62E47B0C"/>
    <w:rsid w:val="62EE43CA"/>
    <w:rsid w:val="62F10D4F"/>
    <w:rsid w:val="62F65CBD"/>
    <w:rsid w:val="62FB7407"/>
    <w:rsid w:val="63143CD0"/>
    <w:rsid w:val="63196EDD"/>
    <w:rsid w:val="631D0884"/>
    <w:rsid w:val="631E20A5"/>
    <w:rsid w:val="632302EC"/>
    <w:rsid w:val="633965A2"/>
    <w:rsid w:val="634E6DD4"/>
    <w:rsid w:val="635119AA"/>
    <w:rsid w:val="635B6B27"/>
    <w:rsid w:val="635F3F31"/>
    <w:rsid w:val="63636ED1"/>
    <w:rsid w:val="63640C17"/>
    <w:rsid w:val="636A7786"/>
    <w:rsid w:val="63733A1E"/>
    <w:rsid w:val="63770981"/>
    <w:rsid w:val="637A6445"/>
    <w:rsid w:val="637F5A87"/>
    <w:rsid w:val="63866247"/>
    <w:rsid w:val="63935A5D"/>
    <w:rsid w:val="63982ED9"/>
    <w:rsid w:val="63991A78"/>
    <w:rsid w:val="639E7FE3"/>
    <w:rsid w:val="63A728E8"/>
    <w:rsid w:val="63BC6393"/>
    <w:rsid w:val="63BD210C"/>
    <w:rsid w:val="63BF3991"/>
    <w:rsid w:val="63C71ACD"/>
    <w:rsid w:val="63CA32E5"/>
    <w:rsid w:val="63CB3AB3"/>
    <w:rsid w:val="63CB65D6"/>
    <w:rsid w:val="63CE38A9"/>
    <w:rsid w:val="63D2651D"/>
    <w:rsid w:val="63DA030B"/>
    <w:rsid w:val="63DA0F0F"/>
    <w:rsid w:val="63E27E36"/>
    <w:rsid w:val="63E327D5"/>
    <w:rsid w:val="63E8035A"/>
    <w:rsid w:val="63ED0C43"/>
    <w:rsid w:val="63F505C7"/>
    <w:rsid w:val="63F543C1"/>
    <w:rsid w:val="63FF0F8D"/>
    <w:rsid w:val="63FF4464"/>
    <w:rsid w:val="63FF7863"/>
    <w:rsid w:val="6408557D"/>
    <w:rsid w:val="640C348F"/>
    <w:rsid w:val="641E0DFC"/>
    <w:rsid w:val="643345DC"/>
    <w:rsid w:val="643B19B8"/>
    <w:rsid w:val="644F0254"/>
    <w:rsid w:val="64593660"/>
    <w:rsid w:val="645E744B"/>
    <w:rsid w:val="646F5944"/>
    <w:rsid w:val="646F6A53"/>
    <w:rsid w:val="6470717E"/>
    <w:rsid w:val="6474262C"/>
    <w:rsid w:val="64754984"/>
    <w:rsid w:val="647758E1"/>
    <w:rsid w:val="64981717"/>
    <w:rsid w:val="649879E9"/>
    <w:rsid w:val="64A1300C"/>
    <w:rsid w:val="64AF2F7D"/>
    <w:rsid w:val="64AF5EF8"/>
    <w:rsid w:val="64B452BD"/>
    <w:rsid w:val="64D4770D"/>
    <w:rsid w:val="64D527D4"/>
    <w:rsid w:val="64DC448A"/>
    <w:rsid w:val="64DF27FC"/>
    <w:rsid w:val="64DF4789"/>
    <w:rsid w:val="64E26941"/>
    <w:rsid w:val="64F31418"/>
    <w:rsid w:val="64F40F73"/>
    <w:rsid w:val="64F67403"/>
    <w:rsid w:val="64FD2E13"/>
    <w:rsid w:val="65015003"/>
    <w:rsid w:val="651F0970"/>
    <w:rsid w:val="65270184"/>
    <w:rsid w:val="65407FD2"/>
    <w:rsid w:val="65436640"/>
    <w:rsid w:val="655755C9"/>
    <w:rsid w:val="6558033E"/>
    <w:rsid w:val="655A2308"/>
    <w:rsid w:val="656211BC"/>
    <w:rsid w:val="656E24E3"/>
    <w:rsid w:val="657038D9"/>
    <w:rsid w:val="657B2A5B"/>
    <w:rsid w:val="657E2608"/>
    <w:rsid w:val="6585674A"/>
    <w:rsid w:val="658630FD"/>
    <w:rsid w:val="65866706"/>
    <w:rsid w:val="658729D1"/>
    <w:rsid w:val="658764E5"/>
    <w:rsid w:val="65881026"/>
    <w:rsid w:val="65A54E8F"/>
    <w:rsid w:val="65A74E21"/>
    <w:rsid w:val="65AA71B2"/>
    <w:rsid w:val="65B31411"/>
    <w:rsid w:val="65B337C6"/>
    <w:rsid w:val="65B73CE0"/>
    <w:rsid w:val="65C6115C"/>
    <w:rsid w:val="65C854C3"/>
    <w:rsid w:val="65CA0AF8"/>
    <w:rsid w:val="65DD053F"/>
    <w:rsid w:val="65F334F1"/>
    <w:rsid w:val="65F623B2"/>
    <w:rsid w:val="65FC3794"/>
    <w:rsid w:val="66034197"/>
    <w:rsid w:val="66101D74"/>
    <w:rsid w:val="66194163"/>
    <w:rsid w:val="662639BA"/>
    <w:rsid w:val="662D107D"/>
    <w:rsid w:val="66337F7D"/>
    <w:rsid w:val="664C003E"/>
    <w:rsid w:val="66544FA9"/>
    <w:rsid w:val="66546008"/>
    <w:rsid w:val="66553050"/>
    <w:rsid w:val="667C714C"/>
    <w:rsid w:val="667F0F47"/>
    <w:rsid w:val="66811B16"/>
    <w:rsid w:val="66831332"/>
    <w:rsid w:val="66877912"/>
    <w:rsid w:val="669E6224"/>
    <w:rsid w:val="66A27392"/>
    <w:rsid w:val="66B02628"/>
    <w:rsid w:val="66B05193"/>
    <w:rsid w:val="66B17F28"/>
    <w:rsid w:val="66C33EDD"/>
    <w:rsid w:val="66CA0C91"/>
    <w:rsid w:val="66DD5F6A"/>
    <w:rsid w:val="66DD6269"/>
    <w:rsid w:val="66F21E3F"/>
    <w:rsid w:val="66F763E7"/>
    <w:rsid w:val="66FE24F1"/>
    <w:rsid w:val="66FF67B7"/>
    <w:rsid w:val="6705178F"/>
    <w:rsid w:val="6707356C"/>
    <w:rsid w:val="670E1088"/>
    <w:rsid w:val="67145B47"/>
    <w:rsid w:val="671A2394"/>
    <w:rsid w:val="671D5BA5"/>
    <w:rsid w:val="671D6C85"/>
    <w:rsid w:val="671F37C5"/>
    <w:rsid w:val="671F69E4"/>
    <w:rsid w:val="67214802"/>
    <w:rsid w:val="6721602D"/>
    <w:rsid w:val="6721654B"/>
    <w:rsid w:val="672E31FD"/>
    <w:rsid w:val="67401089"/>
    <w:rsid w:val="67450603"/>
    <w:rsid w:val="676034DA"/>
    <w:rsid w:val="67607803"/>
    <w:rsid w:val="67610269"/>
    <w:rsid w:val="67674868"/>
    <w:rsid w:val="678761AA"/>
    <w:rsid w:val="67890C82"/>
    <w:rsid w:val="67900263"/>
    <w:rsid w:val="67A74E48"/>
    <w:rsid w:val="67B321B6"/>
    <w:rsid w:val="67BA52E0"/>
    <w:rsid w:val="67C06FCE"/>
    <w:rsid w:val="67CE623B"/>
    <w:rsid w:val="67DC3A6D"/>
    <w:rsid w:val="67F02E2C"/>
    <w:rsid w:val="67FA392E"/>
    <w:rsid w:val="680D25D1"/>
    <w:rsid w:val="680F267D"/>
    <w:rsid w:val="68161C63"/>
    <w:rsid w:val="682E46BA"/>
    <w:rsid w:val="683E68A3"/>
    <w:rsid w:val="68430D89"/>
    <w:rsid w:val="686175BB"/>
    <w:rsid w:val="68645C29"/>
    <w:rsid w:val="68691D73"/>
    <w:rsid w:val="686C7F86"/>
    <w:rsid w:val="68745A9F"/>
    <w:rsid w:val="68816EB1"/>
    <w:rsid w:val="68857885"/>
    <w:rsid w:val="689F0032"/>
    <w:rsid w:val="68A2482A"/>
    <w:rsid w:val="68A61340"/>
    <w:rsid w:val="68AA3376"/>
    <w:rsid w:val="68AE04A8"/>
    <w:rsid w:val="68B7181F"/>
    <w:rsid w:val="68C02EA8"/>
    <w:rsid w:val="68C8678E"/>
    <w:rsid w:val="68CF0AA1"/>
    <w:rsid w:val="68CF40B7"/>
    <w:rsid w:val="68D423D1"/>
    <w:rsid w:val="68D91796"/>
    <w:rsid w:val="68DE6680"/>
    <w:rsid w:val="68E1689C"/>
    <w:rsid w:val="68ED36AB"/>
    <w:rsid w:val="68EE5CF0"/>
    <w:rsid w:val="68F640F6"/>
    <w:rsid w:val="68FA78AF"/>
    <w:rsid w:val="68FE11FC"/>
    <w:rsid w:val="6908207B"/>
    <w:rsid w:val="69146C72"/>
    <w:rsid w:val="691901D2"/>
    <w:rsid w:val="692B7A5D"/>
    <w:rsid w:val="693518FB"/>
    <w:rsid w:val="693E203B"/>
    <w:rsid w:val="6942653C"/>
    <w:rsid w:val="69426796"/>
    <w:rsid w:val="69470DF5"/>
    <w:rsid w:val="6949691B"/>
    <w:rsid w:val="69586B5E"/>
    <w:rsid w:val="695D7D9C"/>
    <w:rsid w:val="69651C0E"/>
    <w:rsid w:val="69733998"/>
    <w:rsid w:val="698536CB"/>
    <w:rsid w:val="698931BC"/>
    <w:rsid w:val="698E4D92"/>
    <w:rsid w:val="699658D9"/>
    <w:rsid w:val="69994005"/>
    <w:rsid w:val="699B2906"/>
    <w:rsid w:val="69A66701"/>
    <w:rsid w:val="69B0084D"/>
    <w:rsid w:val="69BB70A1"/>
    <w:rsid w:val="69C9231B"/>
    <w:rsid w:val="69C94E27"/>
    <w:rsid w:val="69C97A5C"/>
    <w:rsid w:val="69D00DEB"/>
    <w:rsid w:val="69D106BF"/>
    <w:rsid w:val="69D37463"/>
    <w:rsid w:val="69D71C14"/>
    <w:rsid w:val="69D96B71"/>
    <w:rsid w:val="69DD52B6"/>
    <w:rsid w:val="69E748B1"/>
    <w:rsid w:val="69F04B5C"/>
    <w:rsid w:val="69F106B6"/>
    <w:rsid w:val="69F35177"/>
    <w:rsid w:val="69F41E03"/>
    <w:rsid w:val="69F6153A"/>
    <w:rsid w:val="69FA77C2"/>
    <w:rsid w:val="69FD3A97"/>
    <w:rsid w:val="69FE06EB"/>
    <w:rsid w:val="69FF4C98"/>
    <w:rsid w:val="6A0863E3"/>
    <w:rsid w:val="6A1E0C4C"/>
    <w:rsid w:val="6A2F4FD5"/>
    <w:rsid w:val="6A313AF6"/>
    <w:rsid w:val="6A325601"/>
    <w:rsid w:val="6A3F0491"/>
    <w:rsid w:val="6A435C05"/>
    <w:rsid w:val="6A444286"/>
    <w:rsid w:val="6A473D57"/>
    <w:rsid w:val="6A4D4B94"/>
    <w:rsid w:val="6A636D50"/>
    <w:rsid w:val="6A64779D"/>
    <w:rsid w:val="6A681023"/>
    <w:rsid w:val="6A693CC3"/>
    <w:rsid w:val="6A6D488B"/>
    <w:rsid w:val="6A711944"/>
    <w:rsid w:val="6A713E88"/>
    <w:rsid w:val="6A8D6CDC"/>
    <w:rsid w:val="6A984C81"/>
    <w:rsid w:val="6AA35385"/>
    <w:rsid w:val="6AA8578F"/>
    <w:rsid w:val="6AAA0797"/>
    <w:rsid w:val="6AAF2FEA"/>
    <w:rsid w:val="6AAF6894"/>
    <w:rsid w:val="6AB029CA"/>
    <w:rsid w:val="6AB35B2D"/>
    <w:rsid w:val="6AB85CA4"/>
    <w:rsid w:val="6AC04572"/>
    <w:rsid w:val="6AC36259"/>
    <w:rsid w:val="6AD502F6"/>
    <w:rsid w:val="6AE23BEF"/>
    <w:rsid w:val="6AE257DF"/>
    <w:rsid w:val="6AEA5EDC"/>
    <w:rsid w:val="6AEB57B0"/>
    <w:rsid w:val="6AFC5C0F"/>
    <w:rsid w:val="6B065A3A"/>
    <w:rsid w:val="6B2D2679"/>
    <w:rsid w:val="6B301701"/>
    <w:rsid w:val="6B3C3144"/>
    <w:rsid w:val="6B407BC5"/>
    <w:rsid w:val="6B451619"/>
    <w:rsid w:val="6B4A24D7"/>
    <w:rsid w:val="6B565F71"/>
    <w:rsid w:val="6B5B54C1"/>
    <w:rsid w:val="6B642323"/>
    <w:rsid w:val="6B6E2C44"/>
    <w:rsid w:val="6B737C7F"/>
    <w:rsid w:val="6B7C01D9"/>
    <w:rsid w:val="6B846734"/>
    <w:rsid w:val="6B8B2217"/>
    <w:rsid w:val="6B9E0F66"/>
    <w:rsid w:val="6BAF11AC"/>
    <w:rsid w:val="6BB73005"/>
    <w:rsid w:val="6BBA2A4C"/>
    <w:rsid w:val="6BBF62EB"/>
    <w:rsid w:val="6BC367E9"/>
    <w:rsid w:val="6BD526E8"/>
    <w:rsid w:val="6BE52720"/>
    <w:rsid w:val="6BED5053"/>
    <w:rsid w:val="6BF070F4"/>
    <w:rsid w:val="6BF55F0D"/>
    <w:rsid w:val="6BFB3185"/>
    <w:rsid w:val="6BFB7C75"/>
    <w:rsid w:val="6C042FCD"/>
    <w:rsid w:val="6C076C8D"/>
    <w:rsid w:val="6C0F54CE"/>
    <w:rsid w:val="6C165E81"/>
    <w:rsid w:val="6C183983"/>
    <w:rsid w:val="6C35427F"/>
    <w:rsid w:val="6C4A6009"/>
    <w:rsid w:val="6C524A63"/>
    <w:rsid w:val="6C5A0E3F"/>
    <w:rsid w:val="6C5B43F9"/>
    <w:rsid w:val="6C615D2A"/>
    <w:rsid w:val="6C6A0C76"/>
    <w:rsid w:val="6C6B0957"/>
    <w:rsid w:val="6C6D2921"/>
    <w:rsid w:val="6C6E48EB"/>
    <w:rsid w:val="6C733CAF"/>
    <w:rsid w:val="6C857B97"/>
    <w:rsid w:val="6C880A80"/>
    <w:rsid w:val="6C8C646B"/>
    <w:rsid w:val="6C8F7A11"/>
    <w:rsid w:val="6C9B5F0F"/>
    <w:rsid w:val="6C9E5E7A"/>
    <w:rsid w:val="6CA715FC"/>
    <w:rsid w:val="6CA9581E"/>
    <w:rsid w:val="6CB22A29"/>
    <w:rsid w:val="6CBF6EF4"/>
    <w:rsid w:val="6CD67079"/>
    <w:rsid w:val="6CE9267E"/>
    <w:rsid w:val="6CEA61B7"/>
    <w:rsid w:val="6CF45B45"/>
    <w:rsid w:val="6CF96C14"/>
    <w:rsid w:val="6CFB3F7B"/>
    <w:rsid w:val="6D046E1E"/>
    <w:rsid w:val="6D0B213A"/>
    <w:rsid w:val="6D0D1A0E"/>
    <w:rsid w:val="6D1F7993"/>
    <w:rsid w:val="6D2E7C52"/>
    <w:rsid w:val="6D3A4588"/>
    <w:rsid w:val="6D4318D3"/>
    <w:rsid w:val="6D4813E1"/>
    <w:rsid w:val="6D4A0EB4"/>
    <w:rsid w:val="6D524C3F"/>
    <w:rsid w:val="6D64388C"/>
    <w:rsid w:val="6D683D05"/>
    <w:rsid w:val="6D70369A"/>
    <w:rsid w:val="6D877A12"/>
    <w:rsid w:val="6D8D155E"/>
    <w:rsid w:val="6D8D4D8C"/>
    <w:rsid w:val="6D8E29B8"/>
    <w:rsid w:val="6DE55BEC"/>
    <w:rsid w:val="6DE9247B"/>
    <w:rsid w:val="6DEA6B95"/>
    <w:rsid w:val="6DEE6E42"/>
    <w:rsid w:val="6DFE0297"/>
    <w:rsid w:val="6E091D34"/>
    <w:rsid w:val="6E0E0133"/>
    <w:rsid w:val="6E0E0ED8"/>
    <w:rsid w:val="6E0E5A72"/>
    <w:rsid w:val="6E1356B1"/>
    <w:rsid w:val="6E155EC0"/>
    <w:rsid w:val="6E1663CE"/>
    <w:rsid w:val="6E193E52"/>
    <w:rsid w:val="6E1C1280"/>
    <w:rsid w:val="6E1C2BD4"/>
    <w:rsid w:val="6E2077C1"/>
    <w:rsid w:val="6E2360E7"/>
    <w:rsid w:val="6E26388E"/>
    <w:rsid w:val="6E274D51"/>
    <w:rsid w:val="6E2911D0"/>
    <w:rsid w:val="6E2F1C57"/>
    <w:rsid w:val="6E386F5E"/>
    <w:rsid w:val="6E3B1E7B"/>
    <w:rsid w:val="6E3C4FD0"/>
    <w:rsid w:val="6E3E3D13"/>
    <w:rsid w:val="6E3F209B"/>
    <w:rsid w:val="6E400F09"/>
    <w:rsid w:val="6E476943"/>
    <w:rsid w:val="6E502965"/>
    <w:rsid w:val="6E512EBB"/>
    <w:rsid w:val="6E5A3708"/>
    <w:rsid w:val="6E5B49FB"/>
    <w:rsid w:val="6E62785D"/>
    <w:rsid w:val="6E70494A"/>
    <w:rsid w:val="6E795A06"/>
    <w:rsid w:val="6E7B7303"/>
    <w:rsid w:val="6E9053B6"/>
    <w:rsid w:val="6EAE2853"/>
    <w:rsid w:val="6EB55C13"/>
    <w:rsid w:val="6EB76046"/>
    <w:rsid w:val="6EBF4B5D"/>
    <w:rsid w:val="6EC61ED7"/>
    <w:rsid w:val="6ED07EFC"/>
    <w:rsid w:val="6ED352BD"/>
    <w:rsid w:val="6ED96D77"/>
    <w:rsid w:val="6EE3336E"/>
    <w:rsid w:val="6EE73BF3"/>
    <w:rsid w:val="6EE964AB"/>
    <w:rsid w:val="6F040629"/>
    <w:rsid w:val="6F097FDF"/>
    <w:rsid w:val="6F0F4C4D"/>
    <w:rsid w:val="6F1136A6"/>
    <w:rsid w:val="6F204751"/>
    <w:rsid w:val="6F273FFF"/>
    <w:rsid w:val="6F2D5EF2"/>
    <w:rsid w:val="6F3A0E20"/>
    <w:rsid w:val="6F400007"/>
    <w:rsid w:val="6F435767"/>
    <w:rsid w:val="6F524050"/>
    <w:rsid w:val="6F6D52C9"/>
    <w:rsid w:val="6F8B78DC"/>
    <w:rsid w:val="6F9C719B"/>
    <w:rsid w:val="6FBC5AF2"/>
    <w:rsid w:val="6FBD0A96"/>
    <w:rsid w:val="6FBD19F9"/>
    <w:rsid w:val="6FC70A73"/>
    <w:rsid w:val="6FC860C0"/>
    <w:rsid w:val="6FC90EEA"/>
    <w:rsid w:val="6FD360BC"/>
    <w:rsid w:val="6FD76303"/>
    <w:rsid w:val="6FEA102B"/>
    <w:rsid w:val="6FEE5C14"/>
    <w:rsid w:val="6FF312D7"/>
    <w:rsid w:val="700737D2"/>
    <w:rsid w:val="700A2FB3"/>
    <w:rsid w:val="700A7EA9"/>
    <w:rsid w:val="700F0193"/>
    <w:rsid w:val="700F39FC"/>
    <w:rsid w:val="701C549A"/>
    <w:rsid w:val="702026E5"/>
    <w:rsid w:val="70264783"/>
    <w:rsid w:val="70274482"/>
    <w:rsid w:val="702D0378"/>
    <w:rsid w:val="702D2212"/>
    <w:rsid w:val="70457711"/>
    <w:rsid w:val="704E6F93"/>
    <w:rsid w:val="70580AF3"/>
    <w:rsid w:val="70585696"/>
    <w:rsid w:val="705C1E2B"/>
    <w:rsid w:val="706528DB"/>
    <w:rsid w:val="7066392F"/>
    <w:rsid w:val="7068691B"/>
    <w:rsid w:val="707D1827"/>
    <w:rsid w:val="708C533F"/>
    <w:rsid w:val="708C79C3"/>
    <w:rsid w:val="709F32C5"/>
    <w:rsid w:val="70A33E2C"/>
    <w:rsid w:val="70B274A7"/>
    <w:rsid w:val="70B34FC2"/>
    <w:rsid w:val="70B825D8"/>
    <w:rsid w:val="70C304AD"/>
    <w:rsid w:val="70D7094C"/>
    <w:rsid w:val="70E611B1"/>
    <w:rsid w:val="70FB20D1"/>
    <w:rsid w:val="710A2B6F"/>
    <w:rsid w:val="710B6BAC"/>
    <w:rsid w:val="71122F0B"/>
    <w:rsid w:val="71193077"/>
    <w:rsid w:val="71466982"/>
    <w:rsid w:val="714D0A76"/>
    <w:rsid w:val="71567813"/>
    <w:rsid w:val="71747364"/>
    <w:rsid w:val="717844DA"/>
    <w:rsid w:val="717958C4"/>
    <w:rsid w:val="717A72B3"/>
    <w:rsid w:val="717C2DDE"/>
    <w:rsid w:val="71826A02"/>
    <w:rsid w:val="718A54BB"/>
    <w:rsid w:val="719572E7"/>
    <w:rsid w:val="71963B91"/>
    <w:rsid w:val="719A621B"/>
    <w:rsid w:val="71A273E3"/>
    <w:rsid w:val="71B6004B"/>
    <w:rsid w:val="71CB1700"/>
    <w:rsid w:val="71D436D3"/>
    <w:rsid w:val="71DD182C"/>
    <w:rsid w:val="71EB7095"/>
    <w:rsid w:val="71F24211"/>
    <w:rsid w:val="71F24762"/>
    <w:rsid w:val="71FA2736"/>
    <w:rsid w:val="7202789C"/>
    <w:rsid w:val="720F447A"/>
    <w:rsid w:val="7227057A"/>
    <w:rsid w:val="722717C4"/>
    <w:rsid w:val="722E34A4"/>
    <w:rsid w:val="723678F8"/>
    <w:rsid w:val="723937D3"/>
    <w:rsid w:val="72477770"/>
    <w:rsid w:val="724A4805"/>
    <w:rsid w:val="72501370"/>
    <w:rsid w:val="725A12D7"/>
    <w:rsid w:val="725D3437"/>
    <w:rsid w:val="72735E94"/>
    <w:rsid w:val="72857387"/>
    <w:rsid w:val="728E35F1"/>
    <w:rsid w:val="729624A5"/>
    <w:rsid w:val="729E62D5"/>
    <w:rsid w:val="72A11024"/>
    <w:rsid w:val="72A25E78"/>
    <w:rsid w:val="72A464DF"/>
    <w:rsid w:val="72C05A54"/>
    <w:rsid w:val="72CA1ECC"/>
    <w:rsid w:val="72D2347E"/>
    <w:rsid w:val="72D46DF8"/>
    <w:rsid w:val="72DA48D1"/>
    <w:rsid w:val="72DC36E2"/>
    <w:rsid w:val="72E43211"/>
    <w:rsid w:val="72EF2539"/>
    <w:rsid w:val="72FA7564"/>
    <w:rsid w:val="72FD5876"/>
    <w:rsid w:val="7300459E"/>
    <w:rsid w:val="7301621E"/>
    <w:rsid w:val="73222D61"/>
    <w:rsid w:val="732E5320"/>
    <w:rsid w:val="73311069"/>
    <w:rsid w:val="73314E38"/>
    <w:rsid w:val="73373BC4"/>
    <w:rsid w:val="73375A36"/>
    <w:rsid w:val="73414ECA"/>
    <w:rsid w:val="734939BC"/>
    <w:rsid w:val="73555EBD"/>
    <w:rsid w:val="735B000D"/>
    <w:rsid w:val="735F6D3B"/>
    <w:rsid w:val="736769C7"/>
    <w:rsid w:val="736F72CC"/>
    <w:rsid w:val="736F7F45"/>
    <w:rsid w:val="73711B8F"/>
    <w:rsid w:val="738D49B5"/>
    <w:rsid w:val="73977C98"/>
    <w:rsid w:val="73AF5389"/>
    <w:rsid w:val="73B44AF9"/>
    <w:rsid w:val="73B47D79"/>
    <w:rsid w:val="73BB0416"/>
    <w:rsid w:val="73CE7C98"/>
    <w:rsid w:val="73D94DFC"/>
    <w:rsid w:val="73E218BF"/>
    <w:rsid w:val="73E35A10"/>
    <w:rsid w:val="73EC0920"/>
    <w:rsid w:val="73F66990"/>
    <w:rsid w:val="73FA088F"/>
    <w:rsid w:val="74212243"/>
    <w:rsid w:val="742325F8"/>
    <w:rsid w:val="74235AD3"/>
    <w:rsid w:val="74241931"/>
    <w:rsid w:val="742479DD"/>
    <w:rsid w:val="74280288"/>
    <w:rsid w:val="74394F80"/>
    <w:rsid w:val="74545336"/>
    <w:rsid w:val="74570D81"/>
    <w:rsid w:val="7457601F"/>
    <w:rsid w:val="7461625D"/>
    <w:rsid w:val="7461767D"/>
    <w:rsid w:val="746A09D0"/>
    <w:rsid w:val="74703059"/>
    <w:rsid w:val="74776930"/>
    <w:rsid w:val="747E12EE"/>
    <w:rsid w:val="748037B9"/>
    <w:rsid w:val="74836A59"/>
    <w:rsid w:val="74852162"/>
    <w:rsid w:val="74886692"/>
    <w:rsid w:val="748A642C"/>
    <w:rsid w:val="749F0FAF"/>
    <w:rsid w:val="74A43991"/>
    <w:rsid w:val="74A51FD1"/>
    <w:rsid w:val="74A62EF7"/>
    <w:rsid w:val="74AA1124"/>
    <w:rsid w:val="74B86703"/>
    <w:rsid w:val="74D011ED"/>
    <w:rsid w:val="74D40C3E"/>
    <w:rsid w:val="74F6547D"/>
    <w:rsid w:val="74FF4332"/>
    <w:rsid w:val="750000AA"/>
    <w:rsid w:val="7503692D"/>
    <w:rsid w:val="750B4E19"/>
    <w:rsid w:val="750B6568"/>
    <w:rsid w:val="75116CCD"/>
    <w:rsid w:val="751E506B"/>
    <w:rsid w:val="75237F82"/>
    <w:rsid w:val="75327770"/>
    <w:rsid w:val="753679E1"/>
    <w:rsid w:val="75381CB1"/>
    <w:rsid w:val="75436915"/>
    <w:rsid w:val="75514932"/>
    <w:rsid w:val="755256D8"/>
    <w:rsid w:val="75525F1F"/>
    <w:rsid w:val="755E733A"/>
    <w:rsid w:val="755E7F92"/>
    <w:rsid w:val="756B7033"/>
    <w:rsid w:val="756C0ED9"/>
    <w:rsid w:val="75717AB9"/>
    <w:rsid w:val="757765BE"/>
    <w:rsid w:val="757A4456"/>
    <w:rsid w:val="757E794D"/>
    <w:rsid w:val="75852CB4"/>
    <w:rsid w:val="75895F54"/>
    <w:rsid w:val="759A0A49"/>
    <w:rsid w:val="75B74801"/>
    <w:rsid w:val="75B97A01"/>
    <w:rsid w:val="75D2493C"/>
    <w:rsid w:val="75D457BF"/>
    <w:rsid w:val="75D51D74"/>
    <w:rsid w:val="75DE03EB"/>
    <w:rsid w:val="75DE488F"/>
    <w:rsid w:val="75E672A0"/>
    <w:rsid w:val="75F53987"/>
    <w:rsid w:val="75FD06EE"/>
    <w:rsid w:val="75FF0C10"/>
    <w:rsid w:val="76201A67"/>
    <w:rsid w:val="76231A17"/>
    <w:rsid w:val="762C1B71"/>
    <w:rsid w:val="76347D47"/>
    <w:rsid w:val="763A0C26"/>
    <w:rsid w:val="763F1ED1"/>
    <w:rsid w:val="76424E1E"/>
    <w:rsid w:val="76461CFB"/>
    <w:rsid w:val="764D2FDA"/>
    <w:rsid w:val="765468FF"/>
    <w:rsid w:val="766C1E9B"/>
    <w:rsid w:val="767050DD"/>
    <w:rsid w:val="76776B05"/>
    <w:rsid w:val="76783A6F"/>
    <w:rsid w:val="767B1729"/>
    <w:rsid w:val="767D0409"/>
    <w:rsid w:val="76816D41"/>
    <w:rsid w:val="769647AB"/>
    <w:rsid w:val="76A07565"/>
    <w:rsid w:val="76B75142"/>
    <w:rsid w:val="76BA0E58"/>
    <w:rsid w:val="76D24E32"/>
    <w:rsid w:val="76D80D82"/>
    <w:rsid w:val="76DC7E8B"/>
    <w:rsid w:val="76E2794A"/>
    <w:rsid w:val="76EC2FDC"/>
    <w:rsid w:val="76F15014"/>
    <w:rsid w:val="76FC4CB7"/>
    <w:rsid w:val="77051759"/>
    <w:rsid w:val="77075720"/>
    <w:rsid w:val="770D3EE5"/>
    <w:rsid w:val="77170A92"/>
    <w:rsid w:val="771B0238"/>
    <w:rsid w:val="7725256C"/>
    <w:rsid w:val="77284EFB"/>
    <w:rsid w:val="77315B33"/>
    <w:rsid w:val="773620D1"/>
    <w:rsid w:val="77562319"/>
    <w:rsid w:val="7760487F"/>
    <w:rsid w:val="77697601"/>
    <w:rsid w:val="77734C40"/>
    <w:rsid w:val="777471D6"/>
    <w:rsid w:val="77805CD8"/>
    <w:rsid w:val="77896DCC"/>
    <w:rsid w:val="7797155D"/>
    <w:rsid w:val="779A667B"/>
    <w:rsid w:val="77A47F79"/>
    <w:rsid w:val="77C62998"/>
    <w:rsid w:val="77C758D6"/>
    <w:rsid w:val="77DC4DFE"/>
    <w:rsid w:val="77E45298"/>
    <w:rsid w:val="77EB22BA"/>
    <w:rsid w:val="77EE0CEA"/>
    <w:rsid w:val="77F94B44"/>
    <w:rsid w:val="78014233"/>
    <w:rsid w:val="78055644"/>
    <w:rsid w:val="78073BAB"/>
    <w:rsid w:val="78216CB5"/>
    <w:rsid w:val="783E7212"/>
    <w:rsid w:val="78485CDE"/>
    <w:rsid w:val="784937C3"/>
    <w:rsid w:val="784B4256"/>
    <w:rsid w:val="784D587D"/>
    <w:rsid w:val="78572FFF"/>
    <w:rsid w:val="787943FB"/>
    <w:rsid w:val="788B70BF"/>
    <w:rsid w:val="78940436"/>
    <w:rsid w:val="78947487"/>
    <w:rsid w:val="789A2EC0"/>
    <w:rsid w:val="78AF02E3"/>
    <w:rsid w:val="78AF1C70"/>
    <w:rsid w:val="78AF6CFD"/>
    <w:rsid w:val="78B13110"/>
    <w:rsid w:val="78B65A28"/>
    <w:rsid w:val="78BB7957"/>
    <w:rsid w:val="78C73DBF"/>
    <w:rsid w:val="78C935D5"/>
    <w:rsid w:val="78CA4C57"/>
    <w:rsid w:val="78CD2FA6"/>
    <w:rsid w:val="78D05905"/>
    <w:rsid w:val="78D63976"/>
    <w:rsid w:val="78D966C9"/>
    <w:rsid w:val="78E21FA1"/>
    <w:rsid w:val="78E55F35"/>
    <w:rsid w:val="78EC71BF"/>
    <w:rsid w:val="78ED7CDF"/>
    <w:rsid w:val="78EF183C"/>
    <w:rsid w:val="78F22765"/>
    <w:rsid w:val="78F57EEE"/>
    <w:rsid w:val="78FE360B"/>
    <w:rsid w:val="79003330"/>
    <w:rsid w:val="79104CA2"/>
    <w:rsid w:val="791B7DFD"/>
    <w:rsid w:val="791C29B3"/>
    <w:rsid w:val="792F02C0"/>
    <w:rsid w:val="79342EE7"/>
    <w:rsid w:val="793637EB"/>
    <w:rsid w:val="793B7903"/>
    <w:rsid w:val="793D3346"/>
    <w:rsid w:val="79575E47"/>
    <w:rsid w:val="7958599E"/>
    <w:rsid w:val="795F5CE7"/>
    <w:rsid w:val="79643A4C"/>
    <w:rsid w:val="79645E6C"/>
    <w:rsid w:val="79690914"/>
    <w:rsid w:val="7969495B"/>
    <w:rsid w:val="796D2361"/>
    <w:rsid w:val="79734CC8"/>
    <w:rsid w:val="797352EE"/>
    <w:rsid w:val="79875D00"/>
    <w:rsid w:val="799534B7"/>
    <w:rsid w:val="79B22F54"/>
    <w:rsid w:val="79B85F2C"/>
    <w:rsid w:val="79B871A5"/>
    <w:rsid w:val="79CA2CA8"/>
    <w:rsid w:val="79CB4676"/>
    <w:rsid w:val="79D7355B"/>
    <w:rsid w:val="79D73ACF"/>
    <w:rsid w:val="79DC7E61"/>
    <w:rsid w:val="79E65A0C"/>
    <w:rsid w:val="79F736D0"/>
    <w:rsid w:val="79FC7B94"/>
    <w:rsid w:val="79FF4DD4"/>
    <w:rsid w:val="79FF6F80"/>
    <w:rsid w:val="7A065C5D"/>
    <w:rsid w:val="7A1B1294"/>
    <w:rsid w:val="7A326030"/>
    <w:rsid w:val="7A3C19B4"/>
    <w:rsid w:val="7A467EA8"/>
    <w:rsid w:val="7A7C753A"/>
    <w:rsid w:val="7A7E03EF"/>
    <w:rsid w:val="7A84150A"/>
    <w:rsid w:val="7A891E4E"/>
    <w:rsid w:val="7AAC3CFC"/>
    <w:rsid w:val="7AAF2356"/>
    <w:rsid w:val="7AAF67FA"/>
    <w:rsid w:val="7AB65FFF"/>
    <w:rsid w:val="7AC14F76"/>
    <w:rsid w:val="7AC7729E"/>
    <w:rsid w:val="7ACC57F7"/>
    <w:rsid w:val="7ACD64B9"/>
    <w:rsid w:val="7AD920E7"/>
    <w:rsid w:val="7AD945AB"/>
    <w:rsid w:val="7ADA128B"/>
    <w:rsid w:val="7ADC0623"/>
    <w:rsid w:val="7ADC4B20"/>
    <w:rsid w:val="7AE01101"/>
    <w:rsid w:val="7AE63625"/>
    <w:rsid w:val="7AF01545"/>
    <w:rsid w:val="7AF64D4C"/>
    <w:rsid w:val="7AF91823"/>
    <w:rsid w:val="7B034450"/>
    <w:rsid w:val="7B05466C"/>
    <w:rsid w:val="7B087CB8"/>
    <w:rsid w:val="7B091175"/>
    <w:rsid w:val="7B0C44EA"/>
    <w:rsid w:val="7B240144"/>
    <w:rsid w:val="7B25086A"/>
    <w:rsid w:val="7B252618"/>
    <w:rsid w:val="7B3F15F6"/>
    <w:rsid w:val="7B413DBE"/>
    <w:rsid w:val="7B4973BB"/>
    <w:rsid w:val="7B4B5D82"/>
    <w:rsid w:val="7B5E06A9"/>
    <w:rsid w:val="7B61606E"/>
    <w:rsid w:val="7B62149F"/>
    <w:rsid w:val="7B646A7C"/>
    <w:rsid w:val="7B670E83"/>
    <w:rsid w:val="7B78322B"/>
    <w:rsid w:val="7B8D09CF"/>
    <w:rsid w:val="7BA634B4"/>
    <w:rsid w:val="7BAA2D03"/>
    <w:rsid w:val="7BC67542"/>
    <w:rsid w:val="7BCD518A"/>
    <w:rsid w:val="7BCE2CB0"/>
    <w:rsid w:val="7BD0029F"/>
    <w:rsid w:val="7BDE1C4F"/>
    <w:rsid w:val="7BE36225"/>
    <w:rsid w:val="7BF436F4"/>
    <w:rsid w:val="7BFC15CB"/>
    <w:rsid w:val="7BFE58E8"/>
    <w:rsid w:val="7BFF0716"/>
    <w:rsid w:val="7C0346F7"/>
    <w:rsid w:val="7C122EB9"/>
    <w:rsid w:val="7C175758"/>
    <w:rsid w:val="7C3364BB"/>
    <w:rsid w:val="7C336FB7"/>
    <w:rsid w:val="7C3625EE"/>
    <w:rsid w:val="7C3871F2"/>
    <w:rsid w:val="7C406F52"/>
    <w:rsid w:val="7C4D19CA"/>
    <w:rsid w:val="7C540933"/>
    <w:rsid w:val="7C5A7CD0"/>
    <w:rsid w:val="7C642E78"/>
    <w:rsid w:val="7C69029A"/>
    <w:rsid w:val="7C692DDD"/>
    <w:rsid w:val="7C865C2E"/>
    <w:rsid w:val="7C871EDC"/>
    <w:rsid w:val="7C9061B7"/>
    <w:rsid w:val="7C9A6C9C"/>
    <w:rsid w:val="7C9F4BE6"/>
    <w:rsid w:val="7CAE318A"/>
    <w:rsid w:val="7CBC5690"/>
    <w:rsid w:val="7CCA3477"/>
    <w:rsid w:val="7CCA362D"/>
    <w:rsid w:val="7CD352F3"/>
    <w:rsid w:val="7CE14E2D"/>
    <w:rsid w:val="7CF60376"/>
    <w:rsid w:val="7CFC2C5D"/>
    <w:rsid w:val="7D0345F2"/>
    <w:rsid w:val="7D052701"/>
    <w:rsid w:val="7D052EA4"/>
    <w:rsid w:val="7D0821F2"/>
    <w:rsid w:val="7D115A3F"/>
    <w:rsid w:val="7D13263F"/>
    <w:rsid w:val="7D176B5E"/>
    <w:rsid w:val="7D1A2AD3"/>
    <w:rsid w:val="7D1D3EEF"/>
    <w:rsid w:val="7D205941"/>
    <w:rsid w:val="7D221505"/>
    <w:rsid w:val="7D3B6D72"/>
    <w:rsid w:val="7D417BA4"/>
    <w:rsid w:val="7D4413BA"/>
    <w:rsid w:val="7D4D3C59"/>
    <w:rsid w:val="7D546FB4"/>
    <w:rsid w:val="7D5859CA"/>
    <w:rsid w:val="7D594473"/>
    <w:rsid w:val="7D644B41"/>
    <w:rsid w:val="7D671AEB"/>
    <w:rsid w:val="7D6A6A08"/>
    <w:rsid w:val="7D7E02C9"/>
    <w:rsid w:val="7D871368"/>
    <w:rsid w:val="7D8A2D8C"/>
    <w:rsid w:val="7D8B4EED"/>
    <w:rsid w:val="7D907C7B"/>
    <w:rsid w:val="7D9942C4"/>
    <w:rsid w:val="7DCC0493"/>
    <w:rsid w:val="7DD331DF"/>
    <w:rsid w:val="7DE45A4F"/>
    <w:rsid w:val="7DEC566F"/>
    <w:rsid w:val="7DF44E24"/>
    <w:rsid w:val="7DFA21C5"/>
    <w:rsid w:val="7DFC4D0F"/>
    <w:rsid w:val="7DFE2B56"/>
    <w:rsid w:val="7E207121"/>
    <w:rsid w:val="7E25281F"/>
    <w:rsid w:val="7E2D2770"/>
    <w:rsid w:val="7E364987"/>
    <w:rsid w:val="7E3C2153"/>
    <w:rsid w:val="7E3E1E15"/>
    <w:rsid w:val="7E431733"/>
    <w:rsid w:val="7E476F8D"/>
    <w:rsid w:val="7E5F4093"/>
    <w:rsid w:val="7E6135BE"/>
    <w:rsid w:val="7E633B84"/>
    <w:rsid w:val="7E663674"/>
    <w:rsid w:val="7E69617F"/>
    <w:rsid w:val="7E794A28"/>
    <w:rsid w:val="7E852C56"/>
    <w:rsid w:val="7E9E4BBC"/>
    <w:rsid w:val="7E9F4E6B"/>
    <w:rsid w:val="7EB02B41"/>
    <w:rsid w:val="7EB55806"/>
    <w:rsid w:val="7EC5039A"/>
    <w:rsid w:val="7EC717AF"/>
    <w:rsid w:val="7EE157DD"/>
    <w:rsid w:val="7EE44903"/>
    <w:rsid w:val="7EED169F"/>
    <w:rsid w:val="7EEE4B99"/>
    <w:rsid w:val="7EF06E36"/>
    <w:rsid w:val="7EF8718F"/>
    <w:rsid w:val="7F001B70"/>
    <w:rsid w:val="7F0A0C8F"/>
    <w:rsid w:val="7F110979"/>
    <w:rsid w:val="7F162349"/>
    <w:rsid w:val="7F1906E6"/>
    <w:rsid w:val="7F1A09AC"/>
    <w:rsid w:val="7F231565"/>
    <w:rsid w:val="7F315A30"/>
    <w:rsid w:val="7F37614B"/>
    <w:rsid w:val="7F3843DF"/>
    <w:rsid w:val="7F425A2A"/>
    <w:rsid w:val="7F445A11"/>
    <w:rsid w:val="7F4734A5"/>
    <w:rsid w:val="7F4F4D23"/>
    <w:rsid w:val="7F5777EC"/>
    <w:rsid w:val="7F58120E"/>
    <w:rsid w:val="7F5933F5"/>
    <w:rsid w:val="7F5D7A5F"/>
    <w:rsid w:val="7F622219"/>
    <w:rsid w:val="7F66695E"/>
    <w:rsid w:val="7F675064"/>
    <w:rsid w:val="7F6E51FB"/>
    <w:rsid w:val="7F78365F"/>
    <w:rsid w:val="7F8E7B60"/>
    <w:rsid w:val="7F96323C"/>
    <w:rsid w:val="7F9D4E73"/>
    <w:rsid w:val="7FA24467"/>
    <w:rsid w:val="7FBE3494"/>
    <w:rsid w:val="7FBF7612"/>
    <w:rsid w:val="7FCF0A6D"/>
    <w:rsid w:val="7FDA7E75"/>
    <w:rsid w:val="7FDB3C42"/>
    <w:rsid w:val="7FEE28D4"/>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qFormat="1" w:uiPriority="99"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1"/>
    <w:basedOn w:val="1"/>
    <w:next w:val="1"/>
    <w:link w:val="47"/>
    <w:qFormat/>
    <w:uiPriority w:val="99"/>
    <w:pPr>
      <w:keepNext/>
      <w:keepLines/>
      <w:widowControl w:val="0"/>
      <w:spacing w:before="340" w:after="330" w:line="576" w:lineRule="auto"/>
      <w:outlineLvl w:val="0"/>
    </w:pPr>
    <w:rPr>
      <w:b/>
      <w:bCs/>
      <w:kern w:val="44"/>
      <w:sz w:val="44"/>
      <w:szCs w:val="44"/>
    </w:rPr>
  </w:style>
  <w:style w:type="paragraph" w:styleId="3">
    <w:name w:val="heading 2"/>
    <w:basedOn w:val="1"/>
    <w:next w:val="4"/>
    <w:link w:val="48"/>
    <w:qFormat/>
    <w:uiPriority w:val="99"/>
    <w:pPr>
      <w:keepNext/>
      <w:keepLines/>
      <w:widowControl w:val="0"/>
      <w:spacing w:before="260" w:after="260" w:line="412" w:lineRule="auto"/>
      <w:outlineLvl w:val="1"/>
    </w:pPr>
    <w:rPr>
      <w:rFonts w:ascii="Arial" w:hAnsi="Arial" w:eastAsia="黑体"/>
      <w:b/>
      <w:bCs/>
      <w:sz w:val="32"/>
      <w:szCs w:val="32"/>
    </w:rPr>
  </w:style>
  <w:style w:type="paragraph" w:styleId="5">
    <w:name w:val="heading 3"/>
    <w:basedOn w:val="1"/>
    <w:next w:val="1"/>
    <w:link w:val="49"/>
    <w:qFormat/>
    <w:uiPriority w:val="99"/>
    <w:pPr>
      <w:keepNext/>
      <w:keepLines/>
      <w:widowControl w:val="0"/>
      <w:spacing w:before="260" w:after="260" w:line="412" w:lineRule="auto"/>
      <w:outlineLvl w:val="2"/>
    </w:pPr>
    <w:rPr>
      <w:b/>
      <w:bCs/>
      <w:sz w:val="32"/>
      <w:szCs w:val="32"/>
    </w:rPr>
  </w:style>
  <w:style w:type="character" w:default="1" w:styleId="35">
    <w:name w:val="Default Paragraph Font"/>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0"/>
    <w:pPr>
      <w:ind w:firstLine="420" w:firstLineChars="200"/>
    </w:pPr>
  </w:style>
  <w:style w:type="paragraph" w:styleId="6">
    <w:name w:val="toc 7"/>
    <w:basedOn w:val="1"/>
    <w:next w:val="1"/>
    <w:unhideWhenUsed/>
    <w:qFormat/>
    <w:uiPriority w:val="39"/>
    <w:pPr>
      <w:ind w:left="1260"/>
    </w:pPr>
    <w:rPr>
      <w:rFonts w:ascii="Calibri" w:hAnsi="Calibri" w:cs="Calibri"/>
      <w:sz w:val="18"/>
      <w:szCs w:val="18"/>
    </w:rPr>
  </w:style>
  <w:style w:type="paragraph" w:styleId="7">
    <w:name w:val="Document Map"/>
    <w:basedOn w:val="1"/>
    <w:link w:val="50"/>
    <w:unhideWhenUsed/>
    <w:qFormat/>
    <w:uiPriority w:val="99"/>
    <w:rPr>
      <w:rFonts w:ascii="宋体"/>
      <w:sz w:val="18"/>
      <w:szCs w:val="18"/>
    </w:rPr>
  </w:style>
  <w:style w:type="paragraph" w:styleId="8">
    <w:name w:val="toa heading"/>
    <w:basedOn w:val="1"/>
    <w:next w:val="1"/>
    <w:semiHidden/>
    <w:qFormat/>
    <w:uiPriority w:val="0"/>
    <w:pPr>
      <w:widowControl w:val="0"/>
      <w:spacing w:before="120"/>
      <w:jc w:val="both"/>
    </w:pPr>
    <w:rPr>
      <w:rFonts w:ascii="Arial" w:hAnsi="Arial" w:cs="Arial"/>
      <w:kern w:val="2"/>
      <w:sz w:val="24"/>
      <w:szCs w:val="24"/>
    </w:rPr>
  </w:style>
  <w:style w:type="paragraph" w:styleId="9">
    <w:name w:val="annotation text"/>
    <w:basedOn w:val="1"/>
    <w:link w:val="63"/>
    <w:unhideWhenUsed/>
    <w:qFormat/>
    <w:uiPriority w:val="0"/>
  </w:style>
  <w:style w:type="paragraph" w:styleId="10">
    <w:name w:val="Body Text 3"/>
    <w:basedOn w:val="1"/>
    <w:link w:val="51"/>
    <w:unhideWhenUsed/>
    <w:qFormat/>
    <w:uiPriority w:val="99"/>
    <w:rPr>
      <w:rFonts w:ascii="宋体"/>
      <w:sz w:val="24"/>
      <w:szCs w:val="24"/>
    </w:rPr>
  </w:style>
  <w:style w:type="paragraph" w:styleId="11">
    <w:name w:val="Body Text"/>
    <w:basedOn w:val="1"/>
    <w:next w:val="12"/>
    <w:link w:val="79"/>
    <w:qFormat/>
    <w:uiPriority w:val="99"/>
    <w:pPr>
      <w:spacing w:line="420" w:lineRule="exact"/>
    </w:pPr>
    <w:rPr>
      <w:rFonts w:ascii="宋体" w:hAnsi="宋体" w:cs="宋体"/>
      <w:b/>
      <w:bCs/>
      <w:sz w:val="24"/>
      <w:szCs w:val="24"/>
    </w:rPr>
  </w:style>
  <w:style w:type="paragraph" w:styleId="12">
    <w:name w:val="toc 5"/>
    <w:basedOn w:val="1"/>
    <w:next w:val="1"/>
    <w:unhideWhenUsed/>
    <w:qFormat/>
    <w:uiPriority w:val="39"/>
    <w:pPr>
      <w:ind w:left="840"/>
    </w:pPr>
    <w:rPr>
      <w:rFonts w:ascii="Calibri" w:hAnsi="Calibri" w:cs="Calibri"/>
      <w:sz w:val="18"/>
      <w:szCs w:val="18"/>
    </w:rPr>
  </w:style>
  <w:style w:type="paragraph" w:styleId="13">
    <w:name w:val="Body Text Indent"/>
    <w:basedOn w:val="1"/>
    <w:link w:val="52"/>
    <w:unhideWhenUsed/>
    <w:qFormat/>
    <w:uiPriority w:val="0"/>
    <w:pPr>
      <w:spacing w:line="460" w:lineRule="exact"/>
      <w:ind w:firstLine="510"/>
    </w:pPr>
  </w:style>
  <w:style w:type="paragraph" w:styleId="14">
    <w:name w:val="Block Text"/>
    <w:basedOn w:val="1"/>
    <w:next w:val="1"/>
    <w:unhideWhenUsed/>
    <w:qFormat/>
    <w:uiPriority w:val="99"/>
    <w:pPr>
      <w:spacing w:after="120"/>
      <w:ind w:left="1440" w:leftChars="700" w:right="1440" w:rightChars="700"/>
    </w:pPr>
  </w:style>
  <w:style w:type="paragraph" w:styleId="15">
    <w:name w:val="toc 3"/>
    <w:basedOn w:val="1"/>
    <w:next w:val="1"/>
    <w:unhideWhenUsed/>
    <w:qFormat/>
    <w:uiPriority w:val="39"/>
    <w:pPr>
      <w:tabs>
        <w:tab w:val="right" w:leader="dot" w:pos="9400"/>
      </w:tabs>
      <w:ind w:left="420"/>
    </w:pPr>
    <w:rPr>
      <w:rFonts w:ascii="宋体" w:hAnsi="宋体" w:cs="宋体"/>
      <w:b/>
      <w:bCs/>
      <w:sz w:val="20"/>
      <w:szCs w:val="20"/>
    </w:rPr>
  </w:style>
  <w:style w:type="paragraph" w:styleId="16">
    <w:name w:val="Plain Text"/>
    <w:basedOn w:val="1"/>
    <w:qFormat/>
    <w:uiPriority w:val="0"/>
    <w:rPr>
      <w:rFonts w:ascii="宋体" w:hAnsi="Courier New"/>
      <w:szCs w:val="20"/>
    </w:rPr>
  </w:style>
  <w:style w:type="paragraph" w:styleId="17">
    <w:name w:val="toc 8"/>
    <w:basedOn w:val="1"/>
    <w:next w:val="1"/>
    <w:unhideWhenUsed/>
    <w:qFormat/>
    <w:uiPriority w:val="39"/>
    <w:pPr>
      <w:ind w:left="1470"/>
    </w:pPr>
    <w:rPr>
      <w:rFonts w:ascii="Calibri" w:hAnsi="Calibri" w:cs="Calibri"/>
      <w:sz w:val="18"/>
      <w:szCs w:val="18"/>
    </w:rPr>
  </w:style>
  <w:style w:type="paragraph" w:styleId="18">
    <w:name w:val="Balloon Text"/>
    <w:basedOn w:val="1"/>
    <w:link w:val="53"/>
    <w:unhideWhenUsed/>
    <w:qFormat/>
    <w:uiPriority w:val="99"/>
    <w:rPr>
      <w:sz w:val="18"/>
      <w:szCs w:val="18"/>
    </w:rPr>
  </w:style>
  <w:style w:type="paragraph" w:styleId="19">
    <w:name w:val="footer"/>
    <w:basedOn w:val="1"/>
    <w:link w:val="54"/>
    <w:unhideWhenUsed/>
    <w:qFormat/>
    <w:uiPriority w:val="99"/>
    <w:pPr>
      <w:tabs>
        <w:tab w:val="center" w:pos="4153"/>
        <w:tab w:val="right" w:pos="8306"/>
      </w:tabs>
      <w:snapToGrid w:val="0"/>
    </w:pPr>
    <w:rPr>
      <w:sz w:val="18"/>
      <w:szCs w:val="18"/>
    </w:rPr>
  </w:style>
  <w:style w:type="paragraph" w:styleId="20">
    <w:name w:val="envelope return"/>
    <w:basedOn w:val="1"/>
    <w:qFormat/>
    <w:uiPriority w:val="0"/>
    <w:pPr>
      <w:snapToGrid w:val="0"/>
    </w:pPr>
    <w:rPr>
      <w:rFonts w:ascii="Arial" w:hAnsi="Arial"/>
    </w:rPr>
  </w:style>
  <w:style w:type="paragraph" w:styleId="21">
    <w:name w:val="header"/>
    <w:basedOn w:val="1"/>
    <w:link w:val="46"/>
    <w:unhideWhenUsed/>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unhideWhenUsed/>
    <w:qFormat/>
    <w:uiPriority w:val="39"/>
    <w:pPr>
      <w:spacing w:before="120" w:after="120"/>
    </w:pPr>
    <w:rPr>
      <w:rFonts w:ascii="Calibri" w:hAnsi="Calibri" w:cs="Calibri"/>
      <w:b/>
      <w:bCs/>
      <w:caps/>
      <w:sz w:val="20"/>
      <w:szCs w:val="20"/>
    </w:rPr>
  </w:style>
  <w:style w:type="paragraph" w:styleId="23">
    <w:name w:val="toc 4"/>
    <w:basedOn w:val="1"/>
    <w:next w:val="1"/>
    <w:unhideWhenUsed/>
    <w:qFormat/>
    <w:uiPriority w:val="39"/>
    <w:pPr>
      <w:ind w:left="630"/>
    </w:pPr>
    <w:rPr>
      <w:rFonts w:ascii="Calibri" w:hAnsi="Calibri" w:cs="Calibri"/>
      <w:sz w:val="18"/>
      <w:szCs w:val="18"/>
    </w:rPr>
  </w:style>
  <w:style w:type="paragraph" w:styleId="24">
    <w:name w:val="Subtitle"/>
    <w:basedOn w:val="1"/>
    <w:next w:val="1"/>
    <w:qFormat/>
    <w:uiPriority w:val="11"/>
    <w:pPr>
      <w:widowControl/>
      <w:jc w:val="right"/>
    </w:pPr>
    <w:rPr>
      <w:rFonts w:ascii="Arial" w:hAnsi="Arial"/>
      <w:iCs/>
      <w:kern w:val="0"/>
      <w:sz w:val="14"/>
      <w:lang w:val="nl-NL" w:eastAsia="en-US"/>
    </w:rPr>
  </w:style>
  <w:style w:type="paragraph" w:styleId="25">
    <w:name w:val="footnote text"/>
    <w:basedOn w:val="1"/>
    <w:qFormat/>
    <w:uiPriority w:val="0"/>
    <w:pPr>
      <w:adjustRightInd w:val="0"/>
      <w:spacing w:line="312" w:lineRule="atLeast"/>
      <w:textAlignment w:val="baseline"/>
    </w:pPr>
    <w:rPr>
      <w:sz w:val="18"/>
      <w:szCs w:val="20"/>
    </w:rPr>
  </w:style>
  <w:style w:type="paragraph" w:styleId="26">
    <w:name w:val="toc 6"/>
    <w:basedOn w:val="1"/>
    <w:next w:val="1"/>
    <w:unhideWhenUsed/>
    <w:qFormat/>
    <w:uiPriority w:val="39"/>
    <w:pPr>
      <w:ind w:left="1050"/>
    </w:pPr>
    <w:rPr>
      <w:rFonts w:ascii="Calibri" w:hAnsi="Calibri" w:cs="Calibri"/>
      <w:sz w:val="18"/>
      <w:szCs w:val="18"/>
    </w:rPr>
  </w:style>
  <w:style w:type="paragraph" w:styleId="27">
    <w:name w:val="toc 2"/>
    <w:basedOn w:val="1"/>
    <w:next w:val="1"/>
    <w:unhideWhenUsed/>
    <w:qFormat/>
    <w:uiPriority w:val="39"/>
    <w:pPr>
      <w:ind w:left="210"/>
    </w:pPr>
    <w:rPr>
      <w:rFonts w:ascii="Calibri" w:hAnsi="Calibri" w:cs="Calibri"/>
      <w:smallCaps/>
      <w:sz w:val="20"/>
      <w:szCs w:val="20"/>
    </w:rPr>
  </w:style>
  <w:style w:type="paragraph" w:styleId="28">
    <w:name w:val="toc 9"/>
    <w:basedOn w:val="1"/>
    <w:next w:val="1"/>
    <w:unhideWhenUsed/>
    <w:qFormat/>
    <w:uiPriority w:val="39"/>
    <w:pPr>
      <w:ind w:left="1680"/>
    </w:pPr>
    <w:rPr>
      <w:rFonts w:ascii="Calibri" w:hAnsi="Calibri" w:cs="Calibri"/>
      <w:sz w:val="18"/>
      <w:szCs w:val="18"/>
    </w:rPr>
  </w:style>
  <w:style w:type="paragraph" w:styleId="29">
    <w:name w:val="Normal (Web)"/>
    <w:basedOn w:val="1"/>
    <w:unhideWhenUsed/>
    <w:qFormat/>
    <w:uiPriority w:val="99"/>
    <w:pPr>
      <w:spacing w:before="100" w:beforeAutospacing="1" w:after="100" w:afterAutospacing="1"/>
    </w:pPr>
    <w:rPr>
      <w:sz w:val="24"/>
      <w:szCs w:val="24"/>
    </w:rPr>
  </w:style>
  <w:style w:type="paragraph" w:styleId="30">
    <w:name w:val="annotation subject"/>
    <w:basedOn w:val="9"/>
    <w:next w:val="9"/>
    <w:link w:val="64"/>
    <w:semiHidden/>
    <w:unhideWhenUsed/>
    <w:qFormat/>
    <w:uiPriority w:val="99"/>
    <w:rPr>
      <w:b/>
      <w:bCs/>
    </w:rPr>
  </w:style>
  <w:style w:type="paragraph" w:styleId="31">
    <w:name w:val="Body Text First Indent"/>
    <w:basedOn w:val="11"/>
    <w:next w:val="1"/>
    <w:qFormat/>
    <w:uiPriority w:val="99"/>
    <w:pPr>
      <w:ind w:firstLine="420" w:firstLineChars="100"/>
    </w:pPr>
    <w:rPr>
      <w:rFonts w:ascii="Calibri" w:hAnsi="Calibri" w:eastAsia="宋体" w:cs="Times New Roman"/>
      <w:szCs w:val="22"/>
    </w:rPr>
  </w:style>
  <w:style w:type="paragraph" w:styleId="32">
    <w:name w:val="Body Text First Indent 2"/>
    <w:basedOn w:val="13"/>
    <w:link w:val="70"/>
    <w:qFormat/>
    <w:uiPriority w:val="0"/>
    <w:pPr>
      <w:spacing w:line="360" w:lineRule="auto"/>
      <w:ind w:firstLine="420"/>
    </w:pPr>
    <w:rPr>
      <w:rFonts w:hAnsi="宋体"/>
    </w:rPr>
  </w:style>
  <w:style w:type="table" w:styleId="34">
    <w:name w:val="Table Grid"/>
    <w:basedOn w:val="33"/>
    <w:unhideWhenUsed/>
    <w:qFormat/>
    <w:uiPriority w:val="99"/>
    <w:pPr>
      <w:widowControl w:val="0"/>
      <w:jc w:val="both"/>
    </w:pPr>
    <w:rPr>
      <w:rFonts w:ascii="Calibri" w:hAnsi="Calibri" w:eastAsia="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22"/>
    <w:rPr>
      <w:b/>
    </w:rPr>
  </w:style>
  <w:style w:type="character" w:styleId="37">
    <w:name w:val="page number"/>
    <w:qFormat/>
    <w:uiPriority w:val="0"/>
  </w:style>
  <w:style w:type="character" w:styleId="38">
    <w:name w:val="FollowedHyperlink"/>
    <w:basedOn w:val="35"/>
    <w:unhideWhenUsed/>
    <w:qFormat/>
    <w:uiPriority w:val="99"/>
    <w:rPr>
      <w:color w:val="333333"/>
      <w:u w:val="none"/>
    </w:rPr>
  </w:style>
  <w:style w:type="character" w:styleId="39">
    <w:name w:val="Hyperlink"/>
    <w:basedOn w:val="35"/>
    <w:unhideWhenUsed/>
    <w:qFormat/>
    <w:uiPriority w:val="99"/>
    <w:rPr>
      <w:color w:val="333333"/>
      <w:u w:val="none"/>
    </w:rPr>
  </w:style>
  <w:style w:type="character" w:styleId="40">
    <w:name w:val="annotation reference"/>
    <w:basedOn w:val="35"/>
    <w:semiHidden/>
    <w:unhideWhenUsed/>
    <w:qFormat/>
    <w:uiPriority w:val="99"/>
    <w:rPr>
      <w:sz w:val="21"/>
      <w:szCs w:val="21"/>
    </w:rPr>
  </w:style>
  <w:style w:type="paragraph" w:customStyle="1" w:styleId="41">
    <w:name w:val="BodyText1I2"/>
    <w:basedOn w:val="42"/>
    <w:qFormat/>
    <w:uiPriority w:val="99"/>
    <w:pPr>
      <w:spacing w:line="360" w:lineRule="auto"/>
      <w:ind w:firstLine="420" w:firstLineChars="200"/>
    </w:pPr>
    <w:rPr>
      <w:sz w:val="24"/>
    </w:rPr>
  </w:style>
  <w:style w:type="paragraph" w:customStyle="1" w:styleId="42">
    <w:name w:val="BodyTextIndent"/>
    <w:basedOn w:val="1"/>
    <w:qFormat/>
    <w:uiPriority w:val="99"/>
    <w:pPr>
      <w:spacing w:after="120"/>
      <w:ind w:left="420" w:leftChars="200"/>
    </w:pPr>
  </w:style>
  <w:style w:type="paragraph" w:customStyle="1" w:styleId="43">
    <w:name w:val="正文首行缩进 21"/>
    <w:basedOn w:val="44"/>
    <w:next w:val="1"/>
    <w:qFormat/>
    <w:uiPriority w:val="0"/>
    <w:pPr>
      <w:tabs>
        <w:tab w:val="left" w:pos="5404"/>
      </w:tabs>
    </w:pPr>
    <w:rPr>
      <w:rFonts w:eastAsia="Times New Roman"/>
    </w:rPr>
  </w:style>
  <w:style w:type="paragraph" w:customStyle="1" w:styleId="44">
    <w:name w:val="正文文本缩进1"/>
    <w:basedOn w:val="1"/>
    <w:next w:val="1"/>
    <w:qFormat/>
    <w:uiPriority w:val="0"/>
    <w:pPr>
      <w:ind w:left="420" w:leftChars="200"/>
    </w:pPr>
    <w:rPr>
      <w:kern w:val="2"/>
    </w:rPr>
  </w:style>
  <w:style w:type="paragraph" w:customStyle="1" w:styleId="45">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46">
    <w:name w:val="页眉 字符"/>
    <w:basedOn w:val="35"/>
    <w:link w:val="21"/>
    <w:qFormat/>
    <w:uiPriority w:val="99"/>
    <w:rPr>
      <w:sz w:val="18"/>
      <w:szCs w:val="18"/>
    </w:rPr>
  </w:style>
  <w:style w:type="character" w:customStyle="1" w:styleId="47">
    <w:name w:val="标题 1 字符"/>
    <w:basedOn w:val="35"/>
    <w:link w:val="2"/>
    <w:qFormat/>
    <w:uiPriority w:val="99"/>
    <w:rPr>
      <w:rFonts w:ascii="Calibri" w:hAnsi="Calibri" w:eastAsia="宋体" w:cs="Times New Roman"/>
      <w:b/>
      <w:bCs/>
      <w:kern w:val="44"/>
      <w:sz w:val="44"/>
      <w:szCs w:val="44"/>
    </w:rPr>
  </w:style>
  <w:style w:type="character" w:customStyle="1" w:styleId="48">
    <w:name w:val="标题 2 字符"/>
    <w:basedOn w:val="35"/>
    <w:link w:val="3"/>
    <w:qFormat/>
    <w:uiPriority w:val="99"/>
    <w:rPr>
      <w:rFonts w:ascii="Arial" w:hAnsi="Arial" w:eastAsia="黑体" w:cs="Times New Roman"/>
      <w:b/>
      <w:bCs/>
      <w:kern w:val="0"/>
      <w:sz w:val="32"/>
      <w:szCs w:val="32"/>
    </w:rPr>
  </w:style>
  <w:style w:type="character" w:customStyle="1" w:styleId="49">
    <w:name w:val="标题 3 字符"/>
    <w:basedOn w:val="35"/>
    <w:link w:val="5"/>
    <w:qFormat/>
    <w:uiPriority w:val="99"/>
    <w:rPr>
      <w:rFonts w:ascii="Calibri" w:hAnsi="Calibri" w:eastAsia="宋体" w:cs="Times New Roman"/>
      <w:b/>
      <w:bCs/>
      <w:kern w:val="0"/>
      <w:sz w:val="32"/>
      <w:szCs w:val="32"/>
    </w:rPr>
  </w:style>
  <w:style w:type="character" w:customStyle="1" w:styleId="50">
    <w:name w:val="文档结构图 字符"/>
    <w:basedOn w:val="35"/>
    <w:link w:val="7"/>
    <w:semiHidden/>
    <w:qFormat/>
    <w:uiPriority w:val="99"/>
    <w:rPr>
      <w:rFonts w:ascii="宋体"/>
      <w:sz w:val="18"/>
      <w:szCs w:val="18"/>
    </w:rPr>
  </w:style>
  <w:style w:type="character" w:customStyle="1" w:styleId="51">
    <w:name w:val="正文文本 3 字符"/>
    <w:basedOn w:val="35"/>
    <w:link w:val="10"/>
    <w:qFormat/>
    <w:uiPriority w:val="99"/>
    <w:rPr>
      <w:rFonts w:ascii="宋体" w:hAnsi="Calibri" w:eastAsia="宋体" w:cs="Times New Roman"/>
      <w:kern w:val="0"/>
      <w:sz w:val="24"/>
      <w:szCs w:val="24"/>
    </w:rPr>
  </w:style>
  <w:style w:type="character" w:customStyle="1" w:styleId="52">
    <w:name w:val="正文文本缩进 字符"/>
    <w:basedOn w:val="35"/>
    <w:link w:val="13"/>
    <w:qFormat/>
    <w:uiPriority w:val="0"/>
    <w:rPr>
      <w:rFonts w:ascii="Calibri" w:hAnsi="Calibri" w:eastAsia="宋体" w:cs="Times New Roman"/>
      <w:kern w:val="0"/>
      <w:szCs w:val="21"/>
    </w:rPr>
  </w:style>
  <w:style w:type="character" w:customStyle="1" w:styleId="53">
    <w:name w:val="批注框文本 字符"/>
    <w:basedOn w:val="35"/>
    <w:link w:val="18"/>
    <w:semiHidden/>
    <w:qFormat/>
    <w:uiPriority w:val="99"/>
    <w:rPr>
      <w:sz w:val="18"/>
      <w:szCs w:val="18"/>
    </w:rPr>
  </w:style>
  <w:style w:type="character" w:customStyle="1" w:styleId="54">
    <w:name w:val="页脚 字符"/>
    <w:basedOn w:val="35"/>
    <w:link w:val="19"/>
    <w:qFormat/>
    <w:uiPriority w:val="99"/>
    <w:rPr>
      <w:sz w:val="18"/>
      <w:szCs w:val="18"/>
    </w:rPr>
  </w:style>
  <w:style w:type="character" w:customStyle="1" w:styleId="55">
    <w:name w:val="16"/>
    <w:basedOn w:val="35"/>
    <w:qFormat/>
    <w:uiPriority w:val="0"/>
    <w:rPr>
      <w:rFonts w:hint="default" w:ascii="Times New Roman" w:hAnsi="Times New Roman" w:cs="Times New Roman"/>
      <w:b/>
      <w:bCs/>
      <w:sz w:val="32"/>
      <w:szCs w:val="32"/>
    </w:rPr>
  </w:style>
  <w:style w:type="character" w:customStyle="1" w:styleId="56">
    <w:name w:val="15"/>
    <w:basedOn w:val="35"/>
    <w:qFormat/>
    <w:uiPriority w:val="0"/>
    <w:rPr>
      <w:rFonts w:hint="default" w:ascii="Times New Roman" w:hAnsi="Times New Roman" w:cs="Times New Roman"/>
      <w:b/>
      <w:bCs/>
      <w:kern w:val="44"/>
      <w:sz w:val="44"/>
      <w:szCs w:val="44"/>
    </w:rPr>
  </w:style>
  <w:style w:type="character" w:customStyle="1" w:styleId="57">
    <w:name w:val="more"/>
    <w:basedOn w:val="35"/>
    <w:qFormat/>
    <w:uiPriority w:val="0"/>
  </w:style>
  <w:style w:type="paragraph" w:customStyle="1" w:styleId="58">
    <w:name w:val="_Style 2"/>
    <w:basedOn w:val="1"/>
    <w:qFormat/>
    <w:uiPriority w:val="0"/>
  </w:style>
  <w:style w:type="paragraph" w:customStyle="1" w:styleId="59">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paragraph" w:customStyle="1" w:styleId="60">
    <w:name w:val="正文缩进1"/>
    <w:basedOn w:val="1"/>
    <w:qFormat/>
    <w:uiPriority w:val="0"/>
    <w:pPr>
      <w:autoSpaceDE w:val="0"/>
      <w:autoSpaceDN w:val="0"/>
      <w:adjustRightInd w:val="0"/>
      <w:ind w:firstLine="420"/>
    </w:pPr>
    <w:rPr>
      <w:rFonts w:ascii="宋体" w:hAnsi="Calibri"/>
      <w:sz w:val="24"/>
      <w:szCs w:val="22"/>
    </w:rPr>
  </w:style>
  <w:style w:type="paragraph" w:customStyle="1" w:styleId="61">
    <w:name w:val="索引 11"/>
    <w:basedOn w:val="1"/>
    <w:next w:val="1"/>
    <w:qFormat/>
    <w:uiPriority w:val="0"/>
    <w:pPr>
      <w:spacing w:line="360" w:lineRule="auto"/>
    </w:pPr>
    <w:rPr>
      <w:rFonts w:ascii="仿宋_GB2312" w:eastAsia="仿宋_GB2312"/>
      <w:sz w:val="24"/>
      <w:szCs w:val="20"/>
    </w:rPr>
  </w:style>
  <w:style w:type="paragraph" w:customStyle="1" w:styleId="62">
    <w:name w:val="纯文本1"/>
    <w:basedOn w:val="1"/>
    <w:next w:val="1"/>
    <w:qFormat/>
    <w:uiPriority w:val="0"/>
    <w:rPr>
      <w:rFonts w:ascii="宋体" w:hAnsi="Courier New"/>
      <w:szCs w:val="22"/>
    </w:rPr>
  </w:style>
  <w:style w:type="character" w:customStyle="1" w:styleId="63">
    <w:name w:val="批注文字 字符"/>
    <w:basedOn w:val="35"/>
    <w:link w:val="9"/>
    <w:qFormat/>
    <w:uiPriority w:val="99"/>
    <w:rPr>
      <w:sz w:val="21"/>
      <w:szCs w:val="21"/>
    </w:rPr>
  </w:style>
  <w:style w:type="character" w:customStyle="1" w:styleId="64">
    <w:name w:val="批注主题 字符"/>
    <w:basedOn w:val="63"/>
    <w:link w:val="30"/>
    <w:semiHidden/>
    <w:qFormat/>
    <w:uiPriority w:val="99"/>
    <w:rPr>
      <w:b/>
      <w:bCs/>
      <w:sz w:val="21"/>
      <w:szCs w:val="21"/>
    </w:rPr>
  </w:style>
  <w:style w:type="character" w:customStyle="1" w:styleId="65">
    <w:name w:val="font21"/>
    <w:basedOn w:val="35"/>
    <w:qFormat/>
    <w:uiPriority w:val="0"/>
    <w:rPr>
      <w:rFonts w:hint="eastAsia" w:ascii="宋体" w:hAnsi="宋体" w:eastAsia="宋体" w:cs="宋体"/>
      <w:color w:val="000000"/>
      <w:sz w:val="20"/>
      <w:szCs w:val="20"/>
      <w:u w:val="none"/>
    </w:rPr>
  </w:style>
  <w:style w:type="character" w:customStyle="1" w:styleId="66">
    <w:name w:val="font41"/>
    <w:basedOn w:val="35"/>
    <w:qFormat/>
    <w:uiPriority w:val="0"/>
    <w:rPr>
      <w:rFonts w:ascii="Arial" w:hAnsi="Arial" w:cs="Arial"/>
      <w:color w:val="000000"/>
      <w:sz w:val="20"/>
      <w:szCs w:val="20"/>
      <w:u w:val="none"/>
    </w:rPr>
  </w:style>
  <w:style w:type="character" w:customStyle="1" w:styleId="67">
    <w:name w:val="font01"/>
    <w:basedOn w:val="35"/>
    <w:qFormat/>
    <w:uiPriority w:val="0"/>
    <w:rPr>
      <w:rFonts w:hint="eastAsia" w:ascii="宋体" w:hAnsi="宋体" w:eastAsia="宋体" w:cs="宋体"/>
      <w:color w:val="000000"/>
      <w:sz w:val="22"/>
      <w:szCs w:val="22"/>
      <w:u w:val="none"/>
    </w:rPr>
  </w:style>
  <w:style w:type="character" w:customStyle="1" w:styleId="68">
    <w:name w:val="font51"/>
    <w:basedOn w:val="35"/>
    <w:qFormat/>
    <w:uiPriority w:val="0"/>
    <w:rPr>
      <w:rFonts w:ascii="仿宋" w:hAnsi="仿宋" w:eastAsia="仿宋" w:cs="仿宋"/>
      <w:color w:val="000000"/>
      <w:sz w:val="22"/>
      <w:szCs w:val="22"/>
      <w:u w:val="none"/>
    </w:rPr>
  </w:style>
  <w:style w:type="character" w:customStyle="1" w:styleId="69">
    <w:name w:val="正文文本 字符"/>
    <w:basedOn w:val="35"/>
    <w:qFormat/>
    <w:uiPriority w:val="99"/>
    <w:rPr>
      <w:sz w:val="21"/>
      <w:szCs w:val="21"/>
    </w:rPr>
  </w:style>
  <w:style w:type="character" w:customStyle="1" w:styleId="70">
    <w:name w:val="正文文本首行缩进 2 字符"/>
    <w:link w:val="32"/>
    <w:qFormat/>
    <w:uiPriority w:val="0"/>
    <w:rPr>
      <w:sz w:val="21"/>
      <w:szCs w:val="21"/>
    </w:rPr>
  </w:style>
  <w:style w:type="character" w:customStyle="1" w:styleId="71">
    <w:name w:val="font61"/>
    <w:basedOn w:val="35"/>
    <w:qFormat/>
    <w:uiPriority w:val="0"/>
    <w:rPr>
      <w:rFonts w:hint="eastAsia" w:ascii="宋体" w:hAnsi="宋体" w:eastAsia="宋体" w:cs="宋体"/>
      <w:b/>
      <w:color w:val="000000"/>
      <w:sz w:val="28"/>
      <w:szCs w:val="28"/>
      <w:u w:val="none"/>
    </w:rPr>
  </w:style>
  <w:style w:type="character" w:customStyle="1" w:styleId="72">
    <w:name w:val="font11"/>
    <w:basedOn w:val="35"/>
    <w:qFormat/>
    <w:uiPriority w:val="0"/>
    <w:rPr>
      <w:rFonts w:hint="eastAsia" w:ascii="宋体" w:hAnsi="宋体" w:eastAsia="宋体" w:cs="宋体"/>
      <w:b/>
      <w:color w:val="000000"/>
      <w:sz w:val="40"/>
      <w:szCs w:val="40"/>
      <w:u w:val="none"/>
    </w:rPr>
  </w:style>
  <w:style w:type="character" w:customStyle="1" w:styleId="73">
    <w:name w:val="font81"/>
    <w:basedOn w:val="35"/>
    <w:qFormat/>
    <w:uiPriority w:val="0"/>
    <w:rPr>
      <w:rFonts w:hint="eastAsia" w:ascii="宋体" w:hAnsi="宋体" w:eastAsia="宋体" w:cs="宋体"/>
      <w:b/>
      <w:color w:val="000000"/>
      <w:sz w:val="16"/>
      <w:szCs w:val="16"/>
      <w:u w:val="none"/>
    </w:rPr>
  </w:style>
  <w:style w:type="character" w:customStyle="1" w:styleId="74">
    <w:name w:val="font31"/>
    <w:basedOn w:val="35"/>
    <w:qFormat/>
    <w:uiPriority w:val="0"/>
    <w:rPr>
      <w:rFonts w:hint="eastAsia" w:ascii="宋体" w:hAnsi="宋体" w:eastAsia="宋体" w:cs="宋体"/>
      <w:b/>
      <w:bCs/>
      <w:color w:val="000000"/>
      <w:sz w:val="16"/>
      <w:szCs w:val="16"/>
      <w:u w:val="none"/>
    </w:rPr>
  </w:style>
  <w:style w:type="paragraph" w:customStyle="1" w:styleId="75">
    <w:name w:val="表格正文"/>
    <w:basedOn w:val="62"/>
    <w:qFormat/>
    <w:uiPriority w:val="0"/>
    <w:rPr>
      <w:rFonts w:ascii="等线" w:hAnsi="等线"/>
      <w:szCs w:val="21"/>
    </w:rPr>
  </w:style>
  <w:style w:type="paragraph" w:customStyle="1" w:styleId="76">
    <w:name w:val="Table Text"/>
    <w:basedOn w:val="1"/>
    <w:semiHidden/>
    <w:qFormat/>
    <w:uiPriority w:val="0"/>
    <w:rPr>
      <w:rFonts w:ascii="宋体" w:hAnsi="宋体" w:cs="宋体"/>
      <w:sz w:val="24"/>
      <w:szCs w:val="24"/>
      <w:lang w:eastAsia="en-US"/>
    </w:rPr>
  </w:style>
  <w:style w:type="table" w:customStyle="1" w:styleId="77">
    <w:name w:val="Table Normal"/>
    <w:semiHidden/>
    <w:unhideWhenUsed/>
    <w:qFormat/>
    <w:uiPriority w:val="0"/>
    <w:tblPr>
      <w:tblCellMar>
        <w:top w:w="0" w:type="dxa"/>
        <w:left w:w="0" w:type="dxa"/>
        <w:bottom w:w="0" w:type="dxa"/>
        <w:right w:w="0" w:type="dxa"/>
      </w:tblCellMar>
    </w:tblPr>
  </w:style>
  <w:style w:type="paragraph" w:customStyle="1" w:styleId="78">
    <w:name w:val="修订1"/>
    <w:hidden/>
    <w:unhideWhenUsed/>
    <w:qFormat/>
    <w:uiPriority w:val="99"/>
    <w:rPr>
      <w:rFonts w:ascii="Times New Roman" w:hAnsi="Times New Roman" w:eastAsia="宋体" w:cs="Times New Roman"/>
      <w:sz w:val="21"/>
      <w:szCs w:val="21"/>
      <w:lang w:val="en-US" w:eastAsia="zh-CN" w:bidi="ar-SA"/>
    </w:rPr>
  </w:style>
  <w:style w:type="character" w:customStyle="1" w:styleId="79">
    <w:name w:val="正文文本 字符1"/>
    <w:basedOn w:val="35"/>
    <w:link w:val="11"/>
    <w:qFormat/>
    <w:uiPriority w:val="99"/>
    <w:rPr>
      <w:rFonts w:ascii="宋体" w:hAnsi="宋体" w:cs="宋体"/>
      <w:b/>
      <w:bCs/>
      <w:sz w:val="24"/>
      <w:szCs w:val="24"/>
    </w:rPr>
  </w:style>
  <w:style w:type="character" w:customStyle="1" w:styleId="80">
    <w:name w:val="Unresolved Mention"/>
    <w:basedOn w:val="35"/>
    <w:semiHidden/>
    <w:unhideWhenUsed/>
    <w:qFormat/>
    <w:uiPriority w:val="99"/>
    <w:rPr>
      <w:color w:val="605E5C"/>
      <w:shd w:val="clear" w:color="auto" w:fill="E1DFDD"/>
    </w:rPr>
  </w:style>
  <w:style w:type="paragraph" w:styleId="81">
    <w:name w:val="List Paragraph"/>
    <w:basedOn w:val="1"/>
    <w:unhideWhenUsed/>
    <w:qFormat/>
    <w:uiPriority w:val="99"/>
    <w:pPr>
      <w:widowControl w:val="0"/>
      <w:ind w:firstLine="420" w:firstLineChars="200"/>
      <w:jc w:val="both"/>
    </w:pPr>
    <w:rPr>
      <w:kern w:val="2"/>
      <w:szCs w:val="24"/>
    </w:rPr>
  </w:style>
  <w:style w:type="paragraph" w:customStyle="1" w:styleId="8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83">
    <w:name w:val="表格文字"/>
    <w:basedOn w:val="1"/>
    <w:next w:val="11"/>
    <w:qFormat/>
    <w:uiPriority w:val="0"/>
    <w:pPr>
      <w:spacing w:before="25" w:after="25"/>
    </w:pPr>
    <w:rPr>
      <w:bCs/>
      <w:spacing w:val="10"/>
      <w:sz w:val="24"/>
      <w:szCs w:val="20"/>
    </w:rPr>
  </w:style>
  <w:style w:type="character" w:customStyle="1" w:styleId="84">
    <w:name w:val="apple-converted-space"/>
    <w:qFormat/>
    <w:uiPriority w:val="0"/>
    <w:rPr>
      <w:rFonts w:ascii="Times New Roman" w:hAnsi="Times New Roman" w:eastAsia="宋体" w:cs="Times New Roman"/>
    </w:rPr>
  </w:style>
  <w:style w:type="paragraph" w:customStyle="1" w:styleId="85">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106</Pages>
  <Words>3438</Words>
  <Characters>4119</Characters>
  <Lines>78</Lines>
  <Paragraphs>79</Paragraphs>
  <TotalTime>0</TotalTime>
  <ScaleCrop>false</ScaleCrop>
  <LinksUpToDate>false</LinksUpToDate>
  <CharactersWithSpaces>4228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2024-03-18T12:31:00Z</dcterms:created>
  <dc:creator>jsb</dc:creator>
  <cp:lastModifiedBy>微信用户</cp:lastModifiedBy>
  <cp:lastPrinted>2024-04-12T06:29:00Z</cp:lastPrinted>
  <dcterms:modified xsi:type="dcterms:W3CDTF">2025-07-30T02:15:49Z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993EEBDB63534240A18A1E1488BEFA50_13</vt:lpwstr>
  </property>
  <property fmtid="{D5CDD505-2E9C-101B-9397-08002B2CF9AE}" pid="4" name="KSOTemplateDocerSaveRecord">
    <vt:lpwstr>eyJoZGlkIjoiZDJkN2Q2MDVjNTY2M2RlMDRmNzEwMWVhMjU5NGMxOTIiLCJ1c2VySWQiOiIxMzUzNjM1MTc5In0=</vt:lpwstr>
  </property>
</Properties>
</file>